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62" w:rsidRDefault="009D4862" w:rsidP="009D4862">
      <w:pPr>
        <w:pStyle w:val="Ttulo2"/>
      </w:pPr>
      <w:r>
        <w:t>PAÍSES DESARROLLADOS</w:t>
      </w:r>
    </w:p>
    <w:p w:rsidR="009D4862" w:rsidRDefault="009D4862" w:rsidP="009D4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1979"/>
        <w:gridCol w:w="1589"/>
        <w:gridCol w:w="1725"/>
        <w:gridCol w:w="20"/>
        <w:gridCol w:w="18"/>
        <w:gridCol w:w="1690"/>
      </w:tblGrid>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p>
        </w:tc>
        <w:tc>
          <w:tcPr>
            <w:tcW w:w="2017" w:type="dxa"/>
          </w:tcPr>
          <w:p w:rsidR="009D4862" w:rsidRPr="00D36DB6" w:rsidRDefault="009D4862" w:rsidP="004A2273">
            <w:pPr>
              <w:jc w:val="center"/>
              <w:rPr>
                <w:sz w:val="22"/>
                <w:szCs w:val="22"/>
              </w:rPr>
            </w:pPr>
            <w:r w:rsidRPr="00D36DB6">
              <w:rPr>
                <w:sz w:val="22"/>
                <w:szCs w:val="22"/>
              </w:rPr>
              <w:t>Estados Unidos</w:t>
            </w:r>
          </w:p>
        </w:tc>
        <w:tc>
          <w:tcPr>
            <w:tcW w:w="1621" w:type="dxa"/>
          </w:tcPr>
          <w:p w:rsidR="009D4862" w:rsidRPr="00D36DB6" w:rsidRDefault="009D4862" w:rsidP="004A2273">
            <w:pPr>
              <w:jc w:val="center"/>
              <w:rPr>
                <w:sz w:val="22"/>
                <w:szCs w:val="22"/>
              </w:rPr>
            </w:pPr>
            <w:r w:rsidRPr="00D36DB6">
              <w:rPr>
                <w:sz w:val="22"/>
                <w:szCs w:val="22"/>
              </w:rPr>
              <w:t>Japón</w:t>
            </w:r>
          </w:p>
        </w:tc>
        <w:tc>
          <w:tcPr>
            <w:tcW w:w="1780" w:type="dxa"/>
            <w:gridSpan w:val="2"/>
          </w:tcPr>
          <w:p w:rsidR="009D4862" w:rsidRPr="00D36DB6" w:rsidRDefault="009D4862" w:rsidP="004A2273">
            <w:pPr>
              <w:jc w:val="center"/>
              <w:rPr>
                <w:sz w:val="22"/>
                <w:szCs w:val="22"/>
              </w:rPr>
            </w:pPr>
            <w:r w:rsidRPr="00D36DB6">
              <w:rPr>
                <w:sz w:val="22"/>
                <w:szCs w:val="22"/>
              </w:rPr>
              <w:t>Alemania</w:t>
            </w:r>
          </w:p>
        </w:tc>
        <w:tc>
          <w:tcPr>
            <w:tcW w:w="1738" w:type="dxa"/>
            <w:gridSpan w:val="2"/>
          </w:tcPr>
          <w:p w:rsidR="009D4862" w:rsidRPr="00D36DB6" w:rsidRDefault="009D4862" w:rsidP="004A2273">
            <w:pPr>
              <w:jc w:val="center"/>
              <w:rPr>
                <w:sz w:val="22"/>
                <w:szCs w:val="22"/>
              </w:rPr>
            </w:pPr>
            <w:r w:rsidRPr="00D36DB6">
              <w:rPr>
                <w:sz w:val="22"/>
                <w:szCs w:val="22"/>
              </w:rPr>
              <w:t>Francia</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 xml:space="preserve">Nombres de </w:t>
            </w:r>
          </w:p>
          <w:p w:rsidR="009D4862" w:rsidRPr="00D36DB6" w:rsidRDefault="009D4862" w:rsidP="004A2273">
            <w:pPr>
              <w:rPr>
                <w:sz w:val="22"/>
                <w:szCs w:val="22"/>
              </w:rPr>
            </w:pPr>
            <w:r w:rsidRPr="00D36DB6">
              <w:rPr>
                <w:sz w:val="22"/>
                <w:szCs w:val="22"/>
              </w:rPr>
              <w:t>varón</w:t>
            </w:r>
          </w:p>
        </w:tc>
        <w:tc>
          <w:tcPr>
            <w:tcW w:w="2017" w:type="dxa"/>
          </w:tcPr>
          <w:p w:rsidR="009D4862" w:rsidRPr="00D36DB6" w:rsidRDefault="009D4862" w:rsidP="004A2273">
            <w:pPr>
              <w:jc w:val="center"/>
              <w:rPr>
                <w:sz w:val="22"/>
                <w:szCs w:val="22"/>
                <w:lang w:val="en-GB"/>
              </w:rPr>
            </w:pPr>
            <w:r w:rsidRPr="00D36DB6">
              <w:rPr>
                <w:sz w:val="22"/>
                <w:szCs w:val="22"/>
                <w:lang w:val="en-GB"/>
              </w:rPr>
              <w:t>David, Michael, Daniel, Richard, Christopher, Alexander, John, James, Harry, George</w:t>
            </w:r>
          </w:p>
        </w:tc>
        <w:tc>
          <w:tcPr>
            <w:tcW w:w="1621" w:type="dxa"/>
          </w:tcPr>
          <w:p w:rsidR="009D4862" w:rsidRPr="00D36DB6" w:rsidRDefault="009D4862" w:rsidP="004A2273">
            <w:pPr>
              <w:jc w:val="center"/>
              <w:rPr>
                <w:sz w:val="22"/>
                <w:szCs w:val="22"/>
              </w:rPr>
            </w:pPr>
            <w:r w:rsidRPr="00D36DB6">
              <w:rPr>
                <w:sz w:val="22"/>
                <w:szCs w:val="22"/>
              </w:rPr>
              <w:t xml:space="preserve">Yoshiro, </w:t>
            </w:r>
            <w:proofErr w:type="spellStart"/>
            <w:r w:rsidRPr="00D36DB6">
              <w:rPr>
                <w:sz w:val="22"/>
                <w:szCs w:val="22"/>
              </w:rPr>
              <w:t>Junichiro</w:t>
            </w:r>
            <w:proofErr w:type="spellEnd"/>
            <w:r w:rsidRPr="00D36DB6">
              <w:rPr>
                <w:sz w:val="22"/>
                <w:szCs w:val="22"/>
              </w:rPr>
              <w:t xml:space="preserve">, </w:t>
            </w:r>
            <w:proofErr w:type="spellStart"/>
            <w:r w:rsidRPr="00D36DB6">
              <w:rPr>
                <w:sz w:val="22"/>
                <w:szCs w:val="22"/>
              </w:rPr>
              <w:t>Masajuro</w:t>
            </w:r>
            <w:proofErr w:type="spellEnd"/>
            <w:r w:rsidRPr="00D36DB6">
              <w:rPr>
                <w:sz w:val="22"/>
                <w:szCs w:val="22"/>
              </w:rPr>
              <w:t xml:space="preserve">, </w:t>
            </w:r>
            <w:proofErr w:type="spellStart"/>
            <w:r w:rsidRPr="00D36DB6">
              <w:rPr>
                <w:sz w:val="22"/>
                <w:szCs w:val="22"/>
              </w:rPr>
              <w:t>Takeo</w:t>
            </w:r>
            <w:proofErr w:type="spellEnd"/>
            <w:r w:rsidRPr="00D36DB6">
              <w:rPr>
                <w:sz w:val="22"/>
                <w:szCs w:val="22"/>
              </w:rPr>
              <w:t xml:space="preserve">, </w:t>
            </w:r>
            <w:proofErr w:type="spellStart"/>
            <w:r w:rsidRPr="00D36DB6">
              <w:rPr>
                <w:sz w:val="22"/>
                <w:szCs w:val="22"/>
              </w:rPr>
              <w:t>Yoriko</w:t>
            </w:r>
            <w:proofErr w:type="spellEnd"/>
            <w:r w:rsidRPr="00D36DB6">
              <w:rPr>
                <w:sz w:val="22"/>
                <w:szCs w:val="22"/>
              </w:rPr>
              <w:t xml:space="preserve">, </w:t>
            </w:r>
            <w:proofErr w:type="spellStart"/>
            <w:r w:rsidRPr="00D36DB6">
              <w:rPr>
                <w:sz w:val="22"/>
                <w:szCs w:val="22"/>
              </w:rPr>
              <w:t>Atsuko</w:t>
            </w:r>
            <w:proofErr w:type="spellEnd"/>
            <w:r w:rsidRPr="00D36DB6">
              <w:rPr>
                <w:sz w:val="22"/>
                <w:szCs w:val="22"/>
              </w:rPr>
              <w:t xml:space="preserve">, </w:t>
            </w:r>
            <w:proofErr w:type="spellStart"/>
            <w:r w:rsidRPr="00D36DB6">
              <w:rPr>
                <w:sz w:val="22"/>
                <w:szCs w:val="22"/>
              </w:rPr>
              <w:t>Muneo</w:t>
            </w:r>
            <w:proofErr w:type="spellEnd"/>
            <w:r w:rsidRPr="00D36DB6">
              <w:rPr>
                <w:sz w:val="22"/>
                <w:szCs w:val="22"/>
              </w:rPr>
              <w:t xml:space="preserve">, </w:t>
            </w:r>
            <w:proofErr w:type="spellStart"/>
            <w:r w:rsidRPr="00D36DB6">
              <w:rPr>
                <w:sz w:val="22"/>
                <w:szCs w:val="22"/>
              </w:rPr>
              <w:t>Mikio</w:t>
            </w:r>
            <w:proofErr w:type="spellEnd"/>
            <w:r w:rsidRPr="00D36DB6">
              <w:rPr>
                <w:sz w:val="22"/>
                <w:szCs w:val="22"/>
              </w:rPr>
              <w:t xml:space="preserve">, </w:t>
            </w:r>
            <w:proofErr w:type="spellStart"/>
            <w:r w:rsidRPr="00D36DB6">
              <w:rPr>
                <w:sz w:val="22"/>
                <w:szCs w:val="22"/>
              </w:rPr>
              <w:t>Akira</w:t>
            </w:r>
            <w:proofErr w:type="spellEnd"/>
            <w:r w:rsidRPr="00D36DB6">
              <w:rPr>
                <w:sz w:val="22"/>
                <w:szCs w:val="22"/>
              </w:rPr>
              <w:t xml:space="preserve">, </w:t>
            </w:r>
            <w:proofErr w:type="spellStart"/>
            <w:r w:rsidRPr="00D36DB6">
              <w:rPr>
                <w:sz w:val="22"/>
                <w:szCs w:val="22"/>
              </w:rPr>
              <w:t>Saburo</w:t>
            </w:r>
            <w:proofErr w:type="spellEnd"/>
          </w:p>
        </w:tc>
        <w:tc>
          <w:tcPr>
            <w:tcW w:w="1780" w:type="dxa"/>
            <w:gridSpan w:val="2"/>
          </w:tcPr>
          <w:p w:rsidR="009D4862" w:rsidRPr="00D36DB6" w:rsidRDefault="009D4862" w:rsidP="004A2273">
            <w:pPr>
              <w:jc w:val="center"/>
              <w:rPr>
                <w:sz w:val="22"/>
                <w:szCs w:val="22"/>
                <w:lang w:val="en-GB"/>
              </w:rPr>
            </w:pPr>
            <w:r w:rsidRPr="00D36DB6">
              <w:rPr>
                <w:sz w:val="22"/>
                <w:szCs w:val="22"/>
                <w:lang w:val="en-GB"/>
              </w:rPr>
              <w:t>Michael, Peter, Thomas, Andreas, Wolfgang, Christian, Karl Heinz, Manfred, Klaus, Frank</w:t>
            </w:r>
          </w:p>
        </w:tc>
        <w:tc>
          <w:tcPr>
            <w:tcW w:w="1738" w:type="dxa"/>
            <w:gridSpan w:val="2"/>
          </w:tcPr>
          <w:p w:rsidR="009D4862" w:rsidRPr="00D36DB6" w:rsidRDefault="009D4862" w:rsidP="004A2273">
            <w:pPr>
              <w:jc w:val="center"/>
              <w:rPr>
                <w:sz w:val="22"/>
                <w:szCs w:val="22"/>
                <w:lang w:val="en-GB"/>
              </w:rPr>
            </w:pPr>
            <w:r w:rsidRPr="00D36DB6">
              <w:rPr>
                <w:sz w:val="22"/>
                <w:szCs w:val="22"/>
                <w:lang w:val="en-GB"/>
              </w:rPr>
              <w:t>Philippe, Jean Pierre, Nicolas, Michel, Pierre, Christophe, David, François, Olivier, Stephane</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Nombres de mujer</w:t>
            </w:r>
          </w:p>
        </w:tc>
        <w:tc>
          <w:tcPr>
            <w:tcW w:w="2017" w:type="dxa"/>
          </w:tcPr>
          <w:p w:rsidR="009D4862" w:rsidRPr="00D36DB6" w:rsidRDefault="009D4862" w:rsidP="004A2273">
            <w:pPr>
              <w:jc w:val="center"/>
              <w:rPr>
                <w:sz w:val="22"/>
                <w:szCs w:val="22"/>
                <w:lang w:val="en-GB"/>
              </w:rPr>
            </w:pPr>
            <w:r w:rsidRPr="00D36DB6">
              <w:rPr>
                <w:sz w:val="22"/>
                <w:szCs w:val="22"/>
                <w:lang w:val="en-GB"/>
              </w:rPr>
              <w:t>Elizabeth, Jennifer, Patricia, Michelle, Stephanie, Jessica, Amy, Susan, Helen, Margaret</w:t>
            </w:r>
          </w:p>
        </w:tc>
        <w:tc>
          <w:tcPr>
            <w:tcW w:w="1621" w:type="dxa"/>
          </w:tcPr>
          <w:p w:rsidR="009D4862" w:rsidRPr="00D36DB6" w:rsidRDefault="009D4862" w:rsidP="004A2273">
            <w:pPr>
              <w:jc w:val="center"/>
              <w:rPr>
                <w:sz w:val="22"/>
                <w:szCs w:val="22"/>
                <w:lang w:val="en-GB"/>
              </w:rPr>
            </w:pPr>
            <w:r w:rsidRPr="00D36DB6">
              <w:rPr>
                <w:sz w:val="22"/>
                <w:szCs w:val="22"/>
                <w:lang w:val="en-GB"/>
              </w:rPr>
              <w:t xml:space="preserve">Masako, Makiko, Aiko, </w:t>
            </w:r>
            <w:proofErr w:type="spellStart"/>
            <w:r w:rsidRPr="00D36DB6">
              <w:rPr>
                <w:sz w:val="22"/>
                <w:szCs w:val="22"/>
                <w:lang w:val="en-GB"/>
              </w:rPr>
              <w:t>Etsu</w:t>
            </w:r>
            <w:proofErr w:type="spellEnd"/>
            <w:r w:rsidRPr="00D36DB6">
              <w:rPr>
                <w:sz w:val="22"/>
                <w:szCs w:val="22"/>
                <w:lang w:val="en-GB"/>
              </w:rPr>
              <w:t xml:space="preserve">, Chizu, </w:t>
            </w:r>
            <w:proofErr w:type="spellStart"/>
            <w:r w:rsidRPr="00D36DB6">
              <w:rPr>
                <w:sz w:val="22"/>
                <w:szCs w:val="22"/>
                <w:lang w:val="en-GB"/>
              </w:rPr>
              <w:t>Haruko</w:t>
            </w:r>
            <w:proofErr w:type="spellEnd"/>
            <w:r w:rsidRPr="00D36DB6">
              <w:rPr>
                <w:sz w:val="22"/>
                <w:szCs w:val="22"/>
                <w:lang w:val="en-GB"/>
              </w:rPr>
              <w:t xml:space="preserve">, </w:t>
            </w:r>
            <w:proofErr w:type="spellStart"/>
            <w:r w:rsidRPr="00D36DB6">
              <w:rPr>
                <w:sz w:val="22"/>
                <w:szCs w:val="22"/>
                <w:lang w:val="en-GB"/>
              </w:rPr>
              <w:t>Iku</w:t>
            </w:r>
            <w:proofErr w:type="spellEnd"/>
            <w:r w:rsidRPr="00D36DB6">
              <w:rPr>
                <w:sz w:val="22"/>
                <w:szCs w:val="22"/>
                <w:lang w:val="en-GB"/>
              </w:rPr>
              <w:t xml:space="preserve">, Keiko, Ren, </w:t>
            </w:r>
            <w:proofErr w:type="spellStart"/>
            <w:r w:rsidRPr="00D36DB6">
              <w:rPr>
                <w:sz w:val="22"/>
                <w:szCs w:val="22"/>
                <w:lang w:val="en-GB"/>
              </w:rPr>
              <w:t>Nayoko</w:t>
            </w:r>
            <w:proofErr w:type="spellEnd"/>
          </w:p>
        </w:tc>
        <w:tc>
          <w:tcPr>
            <w:tcW w:w="1780" w:type="dxa"/>
            <w:gridSpan w:val="2"/>
          </w:tcPr>
          <w:p w:rsidR="009D4862" w:rsidRPr="00D36DB6" w:rsidRDefault="009D4862" w:rsidP="004A2273">
            <w:pPr>
              <w:jc w:val="center"/>
              <w:rPr>
                <w:sz w:val="22"/>
                <w:szCs w:val="22"/>
                <w:lang w:val="en-GB"/>
              </w:rPr>
            </w:pPr>
            <w:r w:rsidRPr="00D36DB6">
              <w:rPr>
                <w:sz w:val="22"/>
                <w:szCs w:val="22"/>
                <w:lang w:val="en-GB"/>
              </w:rPr>
              <w:t>Ursula, Monika, Karin, Sabine, Claudia, Renate, Susanne, Brigitte, Helga, Petra</w:t>
            </w:r>
          </w:p>
        </w:tc>
        <w:tc>
          <w:tcPr>
            <w:tcW w:w="1738" w:type="dxa"/>
            <w:gridSpan w:val="2"/>
          </w:tcPr>
          <w:p w:rsidR="009D4862" w:rsidRPr="00D36DB6" w:rsidRDefault="009D4862" w:rsidP="004A2273">
            <w:pPr>
              <w:jc w:val="center"/>
              <w:rPr>
                <w:sz w:val="22"/>
                <w:szCs w:val="22"/>
                <w:lang w:val="en-GB"/>
              </w:rPr>
            </w:pPr>
            <w:r w:rsidRPr="00D36DB6">
              <w:rPr>
                <w:sz w:val="22"/>
                <w:szCs w:val="22"/>
                <w:lang w:val="en-GB"/>
              </w:rPr>
              <w:t>Nathalie, Isabelle, Catherine, Stephanie, Sophie, Marie, Françoise, Valerie, Sylvie, Caroline</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Viviendas con agua potable</w:t>
            </w:r>
          </w:p>
        </w:tc>
        <w:tc>
          <w:tcPr>
            <w:tcW w:w="2017" w:type="dxa"/>
          </w:tcPr>
          <w:p w:rsidR="009D4862" w:rsidRPr="00D36DB6" w:rsidRDefault="009D4862" w:rsidP="004A2273">
            <w:pPr>
              <w:jc w:val="center"/>
              <w:rPr>
                <w:sz w:val="22"/>
                <w:szCs w:val="22"/>
              </w:rPr>
            </w:pPr>
            <w:r>
              <w:rPr>
                <w:sz w:val="22"/>
                <w:szCs w:val="22"/>
              </w:rPr>
              <w:t>100</w:t>
            </w:r>
            <w:r w:rsidRPr="00D36DB6">
              <w:rPr>
                <w:sz w:val="22"/>
                <w:szCs w:val="22"/>
              </w:rPr>
              <w:t xml:space="preserve"> %</w:t>
            </w:r>
          </w:p>
        </w:tc>
        <w:tc>
          <w:tcPr>
            <w:tcW w:w="1621" w:type="dxa"/>
          </w:tcPr>
          <w:p w:rsidR="009D4862" w:rsidRPr="00D36DB6" w:rsidRDefault="009D4862" w:rsidP="004A2273">
            <w:pPr>
              <w:jc w:val="center"/>
              <w:rPr>
                <w:sz w:val="22"/>
                <w:szCs w:val="22"/>
              </w:rPr>
            </w:pPr>
            <w:r w:rsidRPr="00D36DB6">
              <w:rPr>
                <w:sz w:val="22"/>
                <w:szCs w:val="22"/>
              </w:rPr>
              <w:t>100 %</w:t>
            </w:r>
          </w:p>
        </w:tc>
        <w:tc>
          <w:tcPr>
            <w:tcW w:w="1780" w:type="dxa"/>
            <w:gridSpan w:val="2"/>
          </w:tcPr>
          <w:p w:rsidR="009D4862" w:rsidRPr="00D36DB6" w:rsidRDefault="009D4862" w:rsidP="004A2273">
            <w:pPr>
              <w:jc w:val="center"/>
              <w:rPr>
                <w:sz w:val="22"/>
                <w:szCs w:val="22"/>
              </w:rPr>
            </w:pPr>
            <w:r>
              <w:rPr>
                <w:sz w:val="22"/>
                <w:szCs w:val="22"/>
              </w:rPr>
              <w:t>100</w:t>
            </w:r>
            <w:r w:rsidRPr="00D36DB6">
              <w:rPr>
                <w:sz w:val="22"/>
                <w:szCs w:val="22"/>
              </w:rPr>
              <w:t xml:space="preserve"> %</w:t>
            </w:r>
          </w:p>
        </w:tc>
        <w:tc>
          <w:tcPr>
            <w:tcW w:w="1738" w:type="dxa"/>
            <w:gridSpan w:val="2"/>
          </w:tcPr>
          <w:p w:rsidR="009D4862" w:rsidRPr="00D36DB6" w:rsidRDefault="009D4862" w:rsidP="004A2273">
            <w:pPr>
              <w:jc w:val="center"/>
              <w:rPr>
                <w:sz w:val="22"/>
                <w:szCs w:val="22"/>
              </w:rPr>
            </w:pPr>
            <w:r>
              <w:rPr>
                <w:sz w:val="22"/>
                <w:szCs w:val="22"/>
              </w:rPr>
              <w:t>100</w:t>
            </w:r>
            <w:r w:rsidRPr="00D36DB6">
              <w:rPr>
                <w:sz w:val="22"/>
                <w:szCs w:val="22"/>
              </w:rPr>
              <w:t xml:space="preserve"> %</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Viviendas con alcantarillado</w:t>
            </w:r>
            <w:r>
              <w:rPr>
                <w:sz w:val="22"/>
                <w:szCs w:val="22"/>
              </w:rPr>
              <w:t xml:space="preserve"> o fosa séptica</w:t>
            </w:r>
          </w:p>
        </w:tc>
        <w:tc>
          <w:tcPr>
            <w:tcW w:w="2017" w:type="dxa"/>
          </w:tcPr>
          <w:p w:rsidR="009D4862" w:rsidRPr="00D36DB6" w:rsidRDefault="009D4862" w:rsidP="004A2273">
            <w:pPr>
              <w:jc w:val="center"/>
              <w:rPr>
                <w:sz w:val="22"/>
                <w:szCs w:val="22"/>
              </w:rPr>
            </w:pPr>
            <w:r>
              <w:rPr>
                <w:sz w:val="22"/>
                <w:szCs w:val="22"/>
              </w:rPr>
              <w:t>100</w:t>
            </w:r>
            <w:r w:rsidRPr="00D36DB6">
              <w:rPr>
                <w:sz w:val="22"/>
                <w:szCs w:val="22"/>
              </w:rPr>
              <w:t xml:space="preserve"> %</w:t>
            </w:r>
          </w:p>
        </w:tc>
        <w:tc>
          <w:tcPr>
            <w:tcW w:w="1621" w:type="dxa"/>
          </w:tcPr>
          <w:p w:rsidR="009D4862" w:rsidRPr="00D36DB6" w:rsidRDefault="009D4862" w:rsidP="004A2273">
            <w:pPr>
              <w:jc w:val="center"/>
              <w:rPr>
                <w:sz w:val="22"/>
                <w:szCs w:val="22"/>
              </w:rPr>
            </w:pPr>
            <w:r w:rsidRPr="00D36DB6">
              <w:rPr>
                <w:sz w:val="22"/>
                <w:szCs w:val="22"/>
              </w:rPr>
              <w:t>100 %</w:t>
            </w:r>
          </w:p>
        </w:tc>
        <w:tc>
          <w:tcPr>
            <w:tcW w:w="1780" w:type="dxa"/>
            <w:gridSpan w:val="2"/>
          </w:tcPr>
          <w:p w:rsidR="009D4862" w:rsidRPr="00D36DB6" w:rsidRDefault="009D4862" w:rsidP="004A2273">
            <w:pPr>
              <w:jc w:val="center"/>
              <w:rPr>
                <w:sz w:val="22"/>
                <w:szCs w:val="22"/>
              </w:rPr>
            </w:pPr>
            <w:r>
              <w:rPr>
                <w:sz w:val="22"/>
                <w:szCs w:val="22"/>
              </w:rPr>
              <w:t xml:space="preserve">100 </w:t>
            </w:r>
            <w:r w:rsidRPr="00D36DB6">
              <w:rPr>
                <w:sz w:val="22"/>
                <w:szCs w:val="22"/>
              </w:rPr>
              <w:t>%</w:t>
            </w:r>
          </w:p>
        </w:tc>
        <w:tc>
          <w:tcPr>
            <w:tcW w:w="1738" w:type="dxa"/>
            <w:gridSpan w:val="2"/>
          </w:tcPr>
          <w:p w:rsidR="009D4862" w:rsidRPr="00D36DB6" w:rsidRDefault="009D4862" w:rsidP="004A2273">
            <w:pPr>
              <w:jc w:val="center"/>
              <w:rPr>
                <w:sz w:val="22"/>
                <w:szCs w:val="22"/>
              </w:rPr>
            </w:pPr>
            <w:r>
              <w:rPr>
                <w:sz w:val="22"/>
                <w:szCs w:val="22"/>
              </w:rPr>
              <w:t>100</w:t>
            </w:r>
            <w:r w:rsidRPr="00D36DB6">
              <w:rPr>
                <w:sz w:val="22"/>
                <w:szCs w:val="22"/>
              </w:rPr>
              <w:t xml:space="preserve"> %</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Viviendas con suministro eléctrico</w:t>
            </w:r>
          </w:p>
        </w:tc>
        <w:tc>
          <w:tcPr>
            <w:tcW w:w="2017" w:type="dxa"/>
          </w:tcPr>
          <w:p w:rsidR="009D4862" w:rsidRPr="00D36DB6" w:rsidRDefault="009D4862" w:rsidP="004A2273">
            <w:pPr>
              <w:jc w:val="center"/>
              <w:rPr>
                <w:sz w:val="22"/>
                <w:szCs w:val="22"/>
              </w:rPr>
            </w:pPr>
            <w:r>
              <w:rPr>
                <w:sz w:val="22"/>
                <w:szCs w:val="22"/>
              </w:rPr>
              <w:t xml:space="preserve">100 </w:t>
            </w:r>
            <w:r w:rsidRPr="00D36DB6">
              <w:rPr>
                <w:sz w:val="22"/>
                <w:szCs w:val="22"/>
              </w:rPr>
              <w:t>%</w:t>
            </w:r>
          </w:p>
        </w:tc>
        <w:tc>
          <w:tcPr>
            <w:tcW w:w="1621" w:type="dxa"/>
          </w:tcPr>
          <w:p w:rsidR="009D4862" w:rsidRPr="00D36DB6" w:rsidRDefault="009D4862" w:rsidP="004A2273">
            <w:pPr>
              <w:jc w:val="center"/>
              <w:rPr>
                <w:sz w:val="22"/>
                <w:szCs w:val="22"/>
              </w:rPr>
            </w:pPr>
            <w:r w:rsidRPr="00D36DB6">
              <w:rPr>
                <w:sz w:val="22"/>
                <w:szCs w:val="22"/>
              </w:rPr>
              <w:t>100 %</w:t>
            </w:r>
          </w:p>
        </w:tc>
        <w:tc>
          <w:tcPr>
            <w:tcW w:w="1780" w:type="dxa"/>
            <w:gridSpan w:val="2"/>
          </w:tcPr>
          <w:p w:rsidR="009D4862" w:rsidRPr="00D36DB6" w:rsidRDefault="009D4862" w:rsidP="004A2273">
            <w:pPr>
              <w:jc w:val="center"/>
              <w:rPr>
                <w:sz w:val="22"/>
                <w:szCs w:val="22"/>
              </w:rPr>
            </w:pPr>
            <w:r>
              <w:rPr>
                <w:sz w:val="22"/>
                <w:szCs w:val="22"/>
              </w:rPr>
              <w:t>100</w:t>
            </w:r>
            <w:r w:rsidRPr="00D36DB6">
              <w:rPr>
                <w:sz w:val="22"/>
                <w:szCs w:val="22"/>
              </w:rPr>
              <w:t xml:space="preserve"> %</w:t>
            </w:r>
          </w:p>
        </w:tc>
        <w:tc>
          <w:tcPr>
            <w:tcW w:w="1738" w:type="dxa"/>
            <w:gridSpan w:val="2"/>
          </w:tcPr>
          <w:p w:rsidR="009D4862" w:rsidRPr="00D36DB6" w:rsidRDefault="009D4862" w:rsidP="004A2273">
            <w:pPr>
              <w:jc w:val="center"/>
              <w:rPr>
                <w:sz w:val="22"/>
                <w:szCs w:val="22"/>
              </w:rPr>
            </w:pPr>
            <w:r>
              <w:rPr>
                <w:sz w:val="22"/>
                <w:szCs w:val="22"/>
              </w:rPr>
              <w:t xml:space="preserve">100 </w:t>
            </w:r>
            <w:r w:rsidRPr="00D36DB6">
              <w:rPr>
                <w:sz w:val="22"/>
                <w:szCs w:val="22"/>
              </w:rPr>
              <w:t>%</w:t>
            </w:r>
          </w:p>
        </w:tc>
      </w:tr>
      <w:tr w:rsidR="009D4862" w:rsidRPr="00D36DB6" w:rsidTr="004A2273">
        <w:tblPrEx>
          <w:tblCellMar>
            <w:top w:w="0" w:type="dxa"/>
            <w:bottom w:w="0" w:type="dxa"/>
          </w:tblCellMar>
        </w:tblPrEx>
        <w:tc>
          <w:tcPr>
            <w:tcW w:w="1488" w:type="dxa"/>
          </w:tcPr>
          <w:p w:rsidR="009D4862" w:rsidRPr="00D36DB6" w:rsidRDefault="009D4862" w:rsidP="004A2273">
            <w:pPr>
              <w:rPr>
                <w:sz w:val="22"/>
                <w:szCs w:val="22"/>
              </w:rPr>
            </w:pPr>
            <w:r w:rsidRPr="00D36DB6">
              <w:rPr>
                <w:sz w:val="22"/>
                <w:szCs w:val="22"/>
              </w:rPr>
              <w:t>Alimentación</w:t>
            </w:r>
          </w:p>
        </w:tc>
        <w:tc>
          <w:tcPr>
            <w:tcW w:w="2017" w:type="dxa"/>
          </w:tcPr>
          <w:p w:rsidR="009D4862" w:rsidRPr="00D36DB6" w:rsidRDefault="009D4862" w:rsidP="004A2273">
            <w:pPr>
              <w:jc w:val="center"/>
              <w:rPr>
                <w:sz w:val="22"/>
                <w:szCs w:val="22"/>
              </w:rPr>
            </w:pPr>
            <w:r w:rsidRPr="00D36DB6">
              <w:rPr>
                <w:sz w:val="22"/>
                <w:szCs w:val="22"/>
              </w:rPr>
              <w:t xml:space="preserve">Alimentación rica en grasas. Se come mucha carne, </w:t>
            </w:r>
            <w:r>
              <w:rPr>
                <w:sz w:val="22"/>
                <w:szCs w:val="22"/>
              </w:rPr>
              <w:t xml:space="preserve">pasta, pizza, </w:t>
            </w:r>
            <w:r w:rsidRPr="00D36DB6">
              <w:rPr>
                <w:sz w:val="22"/>
                <w:szCs w:val="22"/>
              </w:rPr>
              <w:t xml:space="preserve">refrescos, </w:t>
            </w:r>
            <w:r>
              <w:rPr>
                <w:sz w:val="22"/>
                <w:szCs w:val="22"/>
              </w:rPr>
              <w:t xml:space="preserve">tartas </w:t>
            </w:r>
            <w:r w:rsidRPr="00D36DB6">
              <w:rPr>
                <w:sz w:val="22"/>
                <w:szCs w:val="22"/>
              </w:rPr>
              <w:t>y pocas frutas, verduras y pescado. Cada persona come tres hamburguesas y cuatro raciones de patatas fritas a la semana. El 34 % de la población adulta está gorda. El 1 % pasa hambre.</w:t>
            </w:r>
          </w:p>
        </w:tc>
        <w:tc>
          <w:tcPr>
            <w:tcW w:w="1621" w:type="dxa"/>
          </w:tcPr>
          <w:p w:rsidR="009D4862" w:rsidRPr="00D36DB6" w:rsidRDefault="009D4862" w:rsidP="004A2273">
            <w:pPr>
              <w:jc w:val="center"/>
              <w:rPr>
                <w:sz w:val="22"/>
                <w:szCs w:val="22"/>
              </w:rPr>
            </w:pPr>
            <w:r w:rsidRPr="00D36DB6">
              <w:rPr>
                <w:sz w:val="22"/>
                <w:szCs w:val="22"/>
              </w:rPr>
              <w:t>Se come mucho arroz, tofu (queso de soja)</w:t>
            </w:r>
            <w:r>
              <w:rPr>
                <w:sz w:val="22"/>
                <w:szCs w:val="22"/>
              </w:rPr>
              <w:t>, miso (pasta hecha de soja, cereales y algas)</w:t>
            </w:r>
            <w:r w:rsidRPr="00D36DB6">
              <w:rPr>
                <w:sz w:val="22"/>
                <w:szCs w:val="22"/>
              </w:rPr>
              <w:t xml:space="preserve"> y </w:t>
            </w:r>
            <w:r>
              <w:rPr>
                <w:sz w:val="22"/>
                <w:szCs w:val="22"/>
              </w:rPr>
              <w:t>sushi (</w:t>
            </w:r>
            <w:r w:rsidRPr="00D36DB6">
              <w:rPr>
                <w:sz w:val="22"/>
                <w:szCs w:val="22"/>
              </w:rPr>
              <w:t>pescado  crudo</w:t>
            </w:r>
            <w:r>
              <w:rPr>
                <w:sz w:val="22"/>
                <w:szCs w:val="22"/>
              </w:rPr>
              <w:t>). C</w:t>
            </w:r>
            <w:r w:rsidRPr="00D36DB6">
              <w:rPr>
                <w:sz w:val="22"/>
                <w:szCs w:val="22"/>
              </w:rPr>
              <w:t xml:space="preserve">ada persona come </w:t>
            </w:r>
            <w:smartTag w:uri="urn:schemas-microsoft-com:office:smarttags" w:element="metricconverter">
              <w:smartTagPr>
                <w:attr w:name="ProductID" w:val="100 gramos"/>
              </w:smartTagPr>
              <w:r w:rsidRPr="00D36DB6">
                <w:rPr>
                  <w:sz w:val="22"/>
                  <w:szCs w:val="22"/>
                </w:rPr>
                <w:t>100 gramos</w:t>
              </w:r>
            </w:smartTag>
            <w:r w:rsidRPr="00D36DB6">
              <w:rPr>
                <w:sz w:val="22"/>
                <w:szCs w:val="22"/>
              </w:rPr>
              <w:t xml:space="preserve"> diarios</w:t>
            </w:r>
            <w:r>
              <w:rPr>
                <w:sz w:val="22"/>
                <w:szCs w:val="22"/>
              </w:rPr>
              <w:t xml:space="preserve"> de pescado. C</w:t>
            </w:r>
            <w:r w:rsidRPr="00D36DB6">
              <w:rPr>
                <w:sz w:val="22"/>
                <w:szCs w:val="22"/>
              </w:rPr>
              <w:t>ada vez está más de moda la comida rápida americana. Se bebe mucho té.</w:t>
            </w:r>
            <w:r>
              <w:rPr>
                <w:sz w:val="22"/>
                <w:szCs w:val="22"/>
              </w:rPr>
              <w:t xml:space="preserve"> Comen sentados en el suelo, en mesas muy bajitas y usan palillos en vez de tenedor.</w:t>
            </w:r>
            <w:r w:rsidRPr="00D36DB6">
              <w:rPr>
                <w:sz w:val="22"/>
                <w:szCs w:val="22"/>
              </w:rPr>
              <w:t xml:space="preserve"> Hay un 3 % de adultos obesos. Nadie pasa hambre,</w:t>
            </w:r>
          </w:p>
        </w:tc>
        <w:tc>
          <w:tcPr>
            <w:tcW w:w="1780" w:type="dxa"/>
            <w:gridSpan w:val="2"/>
          </w:tcPr>
          <w:p w:rsidR="009D4862" w:rsidRPr="00D36DB6" w:rsidRDefault="009D4862" w:rsidP="004A2273">
            <w:pPr>
              <w:jc w:val="center"/>
              <w:rPr>
                <w:sz w:val="22"/>
                <w:szCs w:val="22"/>
              </w:rPr>
            </w:pPr>
            <w:r w:rsidRPr="00D36DB6">
              <w:rPr>
                <w:sz w:val="22"/>
                <w:szCs w:val="22"/>
              </w:rPr>
              <w:t xml:space="preserve">Se come muchas salchichas, carne asada, </w:t>
            </w:r>
            <w:r>
              <w:rPr>
                <w:sz w:val="22"/>
                <w:szCs w:val="22"/>
              </w:rPr>
              <w:t xml:space="preserve">queso, </w:t>
            </w:r>
            <w:r w:rsidRPr="00D36DB6">
              <w:rPr>
                <w:sz w:val="22"/>
                <w:szCs w:val="22"/>
              </w:rPr>
              <w:t>col y patatas. Se bebe mucha cerveza y poca fruta y verdura.</w:t>
            </w:r>
            <w:r>
              <w:rPr>
                <w:sz w:val="22"/>
                <w:szCs w:val="22"/>
              </w:rPr>
              <w:t xml:space="preserve"> Fríen con mantequilla, no con aceite.</w:t>
            </w:r>
            <w:r w:rsidRPr="00D36DB6">
              <w:rPr>
                <w:sz w:val="22"/>
                <w:szCs w:val="22"/>
              </w:rPr>
              <w:t xml:space="preserve"> Hay un 16 % de población que está gorda. Nadie pasa hambre. Lo normal es comer a las 13 h y cenar a las 19 h.</w:t>
            </w:r>
          </w:p>
        </w:tc>
        <w:tc>
          <w:tcPr>
            <w:tcW w:w="1738" w:type="dxa"/>
            <w:gridSpan w:val="2"/>
          </w:tcPr>
          <w:p w:rsidR="009D4862" w:rsidRPr="00D36DB6" w:rsidRDefault="009D4862" w:rsidP="004A2273">
            <w:pPr>
              <w:jc w:val="center"/>
              <w:rPr>
                <w:sz w:val="22"/>
                <w:szCs w:val="22"/>
              </w:rPr>
            </w:pPr>
            <w:r w:rsidRPr="00D36DB6">
              <w:rPr>
                <w:sz w:val="22"/>
                <w:szCs w:val="22"/>
              </w:rPr>
              <w:t xml:space="preserve">Alimentación bastante variada. </w:t>
            </w:r>
            <w:r>
              <w:rPr>
                <w:sz w:val="22"/>
                <w:szCs w:val="22"/>
              </w:rPr>
              <w:t xml:space="preserve">Francia es el país del mundo en que se come más queso y más paté. </w:t>
            </w:r>
            <w:r w:rsidRPr="00D36DB6">
              <w:rPr>
                <w:sz w:val="22"/>
                <w:szCs w:val="22"/>
              </w:rPr>
              <w:t>Hay un 11 % de gordos, pero la cifra está aumentando. Nadie pasa hambre. Lo normal es comer a las 13 h y cenar a las 19 h.</w:t>
            </w:r>
          </w:p>
        </w:tc>
      </w:tr>
      <w:tr w:rsidR="009D4862" w:rsidRPr="00D36DB6" w:rsidTr="004A2273">
        <w:tblPrEx>
          <w:tblCellMar>
            <w:top w:w="0" w:type="dxa"/>
            <w:bottom w:w="0" w:type="dxa"/>
          </w:tblCellMar>
        </w:tblPrEx>
        <w:trPr>
          <w:cantSplit/>
          <w:trHeight w:val="1695"/>
        </w:trPr>
        <w:tc>
          <w:tcPr>
            <w:tcW w:w="1488" w:type="dxa"/>
            <w:vMerge w:val="restart"/>
          </w:tcPr>
          <w:p w:rsidR="009D4862" w:rsidRPr="00D36DB6" w:rsidRDefault="009D4862" w:rsidP="004A2273">
            <w:pPr>
              <w:rPr>
                <w:sz w:val="22"/>
                <w:szCs w:val="22"/>
              </w:rPr>
            </w:pPr>
            <w:r w:rsidRPr="00D36DB6">
              <w:rPr>
                <w:sz w:val="22"/>
                <w:szCs w:val="22"/>
              </w:rPr>
              <w:lastRenderedPageBreak/>
              <w:t>Enseñanza</w:t>
            </w:r>
          </w:p>
        </w:tc>
        <w:tc>
          <w:tcPr>
            <w:tcW w:w="2017" w:type="dxa"/>
          </w:tcPr>
          <w:p w:rsidR="009D4862" w:rsidRPr="00D36DB6" w:rsidRDefault="009D4862" w:rsidP="004A2273">
            <w:pPr>
              <w:jc w:val="center"/>
              <w:rPr>
                <w:sz w:val="22"/>
                <w:szCs w:val="22"/>
              </w:rPr>
            </w:pPr>
            <w:r w:rsidRPr="00D36DB6">
              <w:rPr>
                <w:sz w:val="22"/>
                <w:szCs w:val="22"/>
              </w:rPr>
              <w:t>El 99 % de la población sabe leer y escribir Hay 20 alumnos por clase en primaria (escuela elemental (6-10 años)</w:t>
            </w:r>
            <w:r>
              <w:rPr>
                <w:sz w:val="22"/>
                <w:szCs w:val="22"/>
              </w:rPr>
              <w:t>)</w:t>
            </w:r>
            <w:r w:rsidRPr="00D36DB6">
              <w:rPr>
                <w:sz w:val="22"/>
                <w:szCs w:val="22"/>
              </w:rPr>
              <w:t xml:space="preserve"> y 18 en secundaria (escuela media (11-13) y </w:t>
            </w:r>
            <w:r>
              <w:rPr>
                <w:sz w:val="22"/>
                <w:szCs w:val="22"/>
              </w:rPr>
              <w:t xml:space="preserve">escuela </w:t>
            </w:r>
            <w:r w:rsidRPr="00D36DB6">
              <w:rPr>
                <w:sz w:val="22"/>
                <w:szCs w:val="22"/>
              </w:rPr>
              <w:t xml:space="preserve">superior (14-17)). </w:t>
            </w:r>
            <w:r>
              <w:rPr>
                <w:sz w:val="22"/>
                <w:szCs w:val="22"/>
              </w:rPr>
              <w:t xml:space="preserve">Los chicos de 14 años cursan 9º grado. </w:t>
            </w:r>
            <w:r w:rsidRPr="00D36DB6">
              <w:rPr>
                <w:sz w:val="22"/>
                <w:szCs w:val="22"/>
              </w:rPr>
              <w:t>Las notas se ponen con letras (A, B, C, D, E y F). La mejor nota es A y la peor es F. Se aprueba con un D.</w:t>
            </w:r>
            <w:r>
              <w:rPr>
                <w:sz w:val="22"/>
                <w:szCs w:val="22"/>
              </w:rPr>
              <w:t xml:space="preserve"> A los profesores se les llama “señor” o “señora” y luego el apellido</w:t>
            </w:r>
            <w:r w:rsidRPr="00D36DB6">
              <w:rPr>
                <w:sz w:val="22"/>
                <w:szCs w:val="22"/>
              </w:rPr>
              <w:t xml:space="preserve"> </w:t>
            </w:r>
            <w:r>
              <w:rPr>
                <w:sz w:val="22"/>
                <w:szCs w:val="22"/>
              </w:rPr>
              <w:t xml:space="preserve">(señor Smith, por ejemplo). </w:t>
            </w:r>
            <w:r w:rsidRPr="00D36DB6">
              <w:rPr>
                <w:sz w:val="22"/>
                <w:szCs w:val="22"/>
              </w:rPr>
              <w:t xml:space="preserve">El 50 % de los jóvenes estudian en la universidad. Las universidades privadas de EEUU (Harvard, Stanford, Yale, Berkeley, Princeton…) son las mejores del mundo, pero son muy caras </w:t>
            </w:r>
            <w:r>
              <w:rPr>
                <w:sz w:val="22"/>
                <w:szCs w:val="22"/>
              </w:rPr>
              <w:t xml:space="preserve">(45.000 dólares al año) </w:t>
            </w:r>
            <w:r w:rsidRPr="00D36DB6">
              <w:rPr>
                <w:sz w:val="22"/>
                <w:szCs w:val="22"/>
              </w:rPr>
              <w:t xml:space="preserve">y piden notas </w:t>
            </w:r>
            <w:r>
              <w:rPr>
                <w:sz w:val="22"/>
                <w:szCs w:val="22"/>
              </w:rPr>
              <w:t xml:space="preserve">muy </w:t>
            </w:r>
            <w:r w:rsidRPr="00D36DB6">
              <w:rPr>
                <w:sz w:val="22"/>
                <w:szCs w:val="22"/>
              </w:rPr>
              <w:t xml:space="preserve">altas para entrar, por lo que pocos pueden ir allí. </w:t>
            </w:r>
            <w:r>
              <w:rPr>
                <w:sz w:val="22"/>
                <w:szCs w:val="22"/>
              </w:rPr>
              <w:t>Las universidades públicas también son caras (10.000 dólares al año), por lo que es muy frecuente pedir un préstamo para ir a la universidad, que se va devolviendo cuando uno ya trabaja.</w:t>
            </w:r>
          </w:p>
        </w:tc>
        <w:tc>
          <w:tcPr>
            <w:tcW w:w="1621" w:type="dxa"/>
          </w:tcPr>
          <w:p w:rsidR="009D4862" w:rsidRPr="00D36DB6" w:rsidRDefault="009D4862" w:rsidP="004A2273">
            <w:pPr>
              <w:jc w:val="center"/>
              <w:rPr>
                <w:sz w:val="22"/>
                <w:szCs w:val="22"/>
              </w:rPr>
            </w:pPr>
            <w:r w:rsidRPr="00D36DB6">
              <w:rPr>
                <w:sz w:val="22"/>
                <w:szCs w:val="22"/>
              </w:rPr>
              <w:t xml:space="preserve">El 99 % de la población sabe leer y escribir Hay 20 alumnos por clase en primaria y 21 en secundaria. La mejor nota es un 100 y la peor un 0. Se aprueba con un 25. </w:t>
            </w:r>
            <w:r>
              <w:rPr>
                <w:sz w:val="22"/>
                <w:szCs w:val="22"/>
              </w:rPr>
              <w:t xml:space="preserve">Los chicos de 14 años cursan 9º grado y todos llevan uniforme. En primaria y secundaria los alumnos dedican algunas horas a la semana a limpiar el centro. </w:t>
            </w:r>
            <w:r w:rsidRPr="00D36DB6">
              <w:rPr>
                <w:sz w:val="22"/>
                <w:szCs w:val="22"/>
              </w:rPr>
              <w:t xml:space="preserve">Casi todos los jóvenes estudian hasta los 18 años y hay mucha presión por parte de los padres para que saquen buenas notas y puedan ir a una buena universidad, ya que eso les asegurará un buen trabajo. </w:t>
            </w:r>
          </w:p>
          <w:p w:rsidR="009D4862" w:rsidRPr="00D36DB6" w:rsidRDefault="009D4862" w:rsidP="004A2273">
            <w:pPr>
              <w:jc w:val="center"/>
              <w:rPr>
                <w:sz w:val="22"/>
                <w:szCs w:val="22"/>
              </w:rPr>
            </w:pPr>
            <w:r w:rsidRPr="00D36DB6">
              <w:rPr>
                <w:sz w:val="22"/>
                <w:szCs w:val="22"/>
              </w:rPr>
              <w:t xml:space="preserve">Pese a ello, sólo el 31 % de los jóvenes estudian en la universidad, ya que las carreras son caras </w:t>
            </w:r>
            <w:r>
              <w:rPr>
                <w:sz w:val="22"/>
                <w:szCs w:val="22"/>
              </w:rPr>
              <w:t xml:space="preserve">(540.000 yenes al año en una universidad pública) </w:t>
            </w:r>
            <w:r w:rsidRPr="00D36DB6">
              <w:rPr>
                <w:sz w:val="22"/>
                <w:szCs w:val="22"/>
              </w:rPr>
              <w:t xml:space="preserve">y muchas familias no pueden pagar la matrícula. </w:t>
            </w:r>
          </w:p>
        </w:tc>
        <w:tc>
          <w:tcPr>
            <w:tcW w:w="1780" w:type="dxa"/>
            <w:gridSpan w:val="2"/>
          </w:tcPr>
          <w:p w:rsidR="009D4862" w:rsidRPr="00D36DB6" w:rsidRDefault="009D4862" w:rsidP="004A2273">
            <w:pPr>
              <w:jc w:val="center"/>
              <w:rPr>
                <w:sz w:val="22"/>
                <w:szCs w:val="22"/>
              </w:rPr>
            </w:pPr>
            <w:r w:rsidRPr="00D36DB6">
              <w:rPr>
                <w:sz w:val="22"/>
                <w:szCs w:val="22"/>
              </w:rPr>
              <w:t xml:space="preserve">. El 99 % de la población sabe leer y escribir. De 6 a 10 años los niños hacen primaria (15 alumnos por clase). En secundaria van al </w:t>
            </w:r>
            <w:proofErr w:type="spellStart"/>
            <w:r w:rsidRPr="00D36DB6">
              <w:rPr>
                <w:sz w:val="22"/>
                <w:szCs w:val="22"/>
              </w:rPr>
              <w:t>Gymnasium</w:t>
            </w:r>
            <w:proofErr w:type="spellEnd"/>
            <w:r w:rsidRPr="00D36DB6">
              <w:rPr>
                <w:sz w:val="22"/>
                <w:szCs w:val="22"/>
              </w:rPr>
              <w:t xml:space="preserve"> (los mejores alumnos), al </w:t>
            </w:r>
            <w:proofErr w:type="spellStart"/>
            <w:r w:rsidRPr="00D36DB6">
              <w:rPr>
                <w:sz w:val="22"/>
                <w:szCs w:val="22"/>
              </w:rPr>
              <w:t>Realschule</w:t>
            </w:r>
            <w:proofErr w:type="spellEnd"/>
            <w:r w:rsidRPr="00D36DB6">
              <w:rPr>
                <w:sz w:val="22"/>
                <w:szCs w:val="22"/>
              </w:rPr>
              <w:t xml:space="preserve"> (los normales) o al </w:t>
            </w:r>
            <w:proofErr w:type="spellStart"/>
            <w:r w:rsidRPr="00D36DB6">
              <w:rPr>
                <w:sz w:val="22"/>
                <w:szCs w:val="22"/>
              </w:rPr>
              <w:t>Hauptschule</w:t>
            </w:r>
            <w:proofErr w:type="spellEnd"/>
            <w:r w:rsidRPr="00D36DB6">
              <w:rPr>
                <w:sz w:val="22"/>
                <w:szCs w:val="22"/>
              </w:rPr>
              <w:t xml:space="preserve"> (los peores), de los </w:t>
            </w:r>
            <w:r>
              <w:rPr>
                <w:sz w:val="22"/>
                <w:szCs w:val="22"/>
              </w:rPr>
              <w:t>11</w:t>
            </w:r>
            <w:r w:rsidRPr="00D36DB6">
              <w:rPr>
                <w:sz w:val="22"/>
                <w:szCs w:val="22"/>
              </w:rPr>
              <w:t xml:space="preserve"> a los 17 años. Hay 21 alumnos por clase en secundaria, aunque en el </w:t>
            </w:r>
            <w:proofErr w:type="spellStart"/>
            <w:r w:rsidRPr="00D36DB6">
              <w:rPr>
                <w:sz w:val="22"/>
                <w:szCs w:val="22"/>
              </w:rPr>
              <w:t>hauptschule</w:t>
            </w:r>
            <w:proofErr w:type="spellEnd"/>
            <w:r w:rsidRPr="00D36DB6">
              <w:rPr>
                <w:sz w:val="22"/>
                <w:szCs w:val="22"/>
              </w:rPr>
              <w:t xml:space="preserve"> son menos. La mejor nota es un 1 y la peor un 6. Se aprueba con un 4.  </w:t>
            </w:r>
            <w:r>
              <w:rPr>
                <w:sz w:val="22"/>
                <w:szCs w:val="22"/>
              </w:rPr>
              <w:t xml:space="preserve">Los alumnos de 14 años van a la 8ª clase. </w:t>
            </w:r>
            <w:r w:rsidRPr="00D36DB6">
              <w:rPr>
                <w:sz w:val="22"/>
                <w:szCs w:val="22"/>
              </w:rPr>
              <w:t>Para ir a</w:t>
            </w:r>
            <w:r>
              <w:rPr>
                <w:sz w:val="22"/>
                <w:szCs w:val="22"/>
              </w:rPr>
              <w:t xml:space="preserve"> la universidad hay que ir al </w:t>
            </w:r>
            <w:proofErr w:type="spellStart"/>
            <w:r>
              <w:rPr>
                <w:sz w:val="22"/>
                <w:szCs w:val="22"/>
              </w:rPr>
              <w:t>Gym</w:t>
            </w:r>
            <w:r w:rsidRPr="00D36DB6">
              <w:rPr>
                <w:sz w:val="22"/>
                <w:szCs w:val="22"/>
              </w:rPr>
              <w:t>nasium</w:t>
            </w:r>
            <w:proofErr w:type="spellEnd"/>
            <w:r w:rsidRPr="00D36DB6">
              <w:rPr>
                <w:sz w:val="22"/>
                <w:szCs w:val="22"/>
              </w:rPr>
              <w:t xml:space="preserve"> y luego hacer un examen de ingreso (el </w:t>
            </w:r>
            <w:proofErr w:type="spellStart"/>
            <w:r w:rsidRPr="00D36DB6">
              <w:rPr>
                <w:sz w:val="22"/>
                <w:szCs w:val="22"/>
              </w:rPr>
              <w:t>Abitur</w:t>
            </w:r>
            <w:proofErr w:type="spellEnd"/>
            <w:r w:rsidRPr="00D36DB6">
              <w:rPr>
                <w:sz w:val="22"/>
                <w:szCs w:val="22"/>
              </w:rPr>
              <w:t>). El 24 % de los jóvenes estudian en la universidad.</w:t>
            </w:r>
            <w:r>
              <w:rPr>
                <w:sz w:val="22"/>
                <w:szCs w:val="22"/>
              </w:rPr>
              <w:t xml:space="preserve"> Casi todos van a universidades públicas, que cuestan una media de 500 euros al año. Los que van al </w:t>
            </w:r>
            <w:proofErr w:type="spellStart"/>
            <w:r>
              <w:rPr>
                <w:sz w:val="22"/>
                <w:szCs w:val="22"/>
              </w:rPr>
              <w:t>Realschule</w:t>
            </w:r>
            <w:proofErr w:type="spellEnd"/>
            <w:r>
              <w:rPr>
                <w:sz w:val="22"/>
                <w:szCs w:val="22"/>
              </w:rPr>
              <w:t xml:space="preserve"> luego van a hacer Formación Profesional y les pagan mientras hacen las prácticas.</w:t>
            </w:r>
          </w:p>
        </w:tc>
        <w:tc>
          <w:tcPr>
            <w:tcW w:w="1738" w:type="dxa"/>
            <w:gridSpan w:val="2"/>
          </w:tcPr>
          <w:p w:rsidR="009D4862" w:rsidRPr="00D36DB6" w:rsidRDefault="009D4862" w:rsidP="004A2273">
            <w:pPr>
              <w:jc w:val="center"/>
              <w:rPr>
                <w:sz w:val="22"/>
                <w:szCs w:val="22"/>
              </w:rPr>
            </w:pPr>
            <w:r w:rsidRPr="00D36DB6">
              <w:rPr>
                <w:sz w:val="22"/>
                <w:szCs w:val="22"/>
              </w:rPr>
              <w:t xml:space="preserve">El 99 % de la población sabe leer y escribir. Hay 13 alumnos por clase en primaria (de 6 a 10 años) y 22 en secundaria (los alumnos van al </w:t>
            </w:r>
            <w:proofErr w:type="spellStart"/>
            <w:r w:rsidRPr="00D36DB6">
              <w:rPr>
                <w:sz w:val="22"/>
                <w:szCs w:val="22"/>
              </w:rPr>
              <w:t>college</w:t>
            </w:r>
            <w:proofErr w:type="spellEnd"/>
            <w:r w:rsidRPr="00D36DB6">
              <w:rPr>
                <w:sz w:val="22"/>
                <w:szCs w:val="22"/>
              </w:rPr>
              <w:t xml:space="preserve"> de los 11 a los 14 años y al liceo de los 15 a los 17). </w:t>
            </w:r>
            <w:r>
              <w:rPr>
                <w:sz w:val="22"/>
                <w:szCs w:val="22"/>
              </w:rPr>
              <w:t xml:space="preserve">A los 14 años los alumnos franceses hacen tercer curso. Para pasar al liceo hay que hacer un examen de matemáticas, historia y francés (el </w:t>
            </w:r>
            <w:proofErr w:type="spellStart"/>
            <w:r>
              <w:rPr>
                <w:sz w:val="22"/>
                <w:szCs w:val="22"/>
              </w:rPr>
              <w:t>brevet</w:t>
            </w:r>
            <w:proofErr w:type="spellEnd"/>
            <w:r>
              <w:rPr>
                <w:sz w:val="22"/>
                <w:szCs w:val="22"/>
              </w:rPr>
              <w:t xml:space="preserve">), que aprueban casi todos. </w:t>
            </w:r>
            <w:r w:rsidRPr="00D36DB6">
              <w:rPr>
                <w:sz w:val="22"/>
                <w:szCs w:val="22"/>
              </w:rPr>
              <w:t>La mejor nota es 20/20</w:t>
            </w:r>
            <w:r>
              <w:rPr>
                <w:sz w:val="22"/>
                <w:szCs w:val="22"/>
              </w:rPr>
              <w:t xml:space="preserve"> (aunque casi nunca te ponen más de 15)</w:t>
            </w:r>
            <w:r w:rsidRPr="00D36DB6">
              <w:rPr>
                <w:sz w:val="22"/>
                <w:szCs w:val="22"/>
              </w:rPr>
              <w:t xml:space="preserve"> y la peor es 0/20. Se aprueba con 10/20.  El 22 % de los jóvenes estudian en la universidad. </w:t>
            </w:r>
            <w:r>
              <w:rPr>
                <w:sz w:val="22"/>
                <w:szCs w:val="22"/>
              </w:rPr>
              <w:t xml:space="preserve">Para pasar a la universidad hay que pasar un examen. Estudiar en una universidad pública es muy barato, pues cuesta de </w:t>
            </w:r>
            <w:proofErr w:type="gramStart"/>
            <w:r>
              <w:rPr>
                <w:sz w:val="22"/>
                <w:szCs w:val="22"/>
              </w:rPr>
              <w:t>media</w:t>
            </w:r>
            <w:proofErr w:type="gramEnd"/>
            <w:r>
              <w:rPr>
                <w:sz w:val="22"/>
                <w:szCs w:val="22"/>
              </w:rPr>
              <w:t xml:space="preserve"> 174 euros al año.</w:t>
            </w:r>
          </w:p>
        </w:tc>
      </w:tr>
      <w:tr w:rsidR="009D4862" w:rsidRPr="00D36DB6" w:rsidTr="004A2273">
        <w:tblPrEx>
          <w:tblCellMar>
            <w:top w:w="0" w:type="dxa"/>
            <w:bottom w:w="0" w:type="dxa"/>
          </w:tblCellMar>
        </w:tblPrEx>
        <w:trPr>
          <w:cantSplit/>
          <w:trHeight w:val="780"/>
        </w:trPr>
        <w:tc>
          <w:tcPr>
            <w:tcW w:w="1488" w:type="dxa"/>
            <w:vMerge/>
          </w:tcPr>
          <w:p w:rsidR="009D4862" w:rsidRPr="00D36DB6" w:rsidRDefault="009D4862" w:rsidP="004A2273">
            <w:pPr>
              <w:rPr>
                <w:sz w:val="22"/>
                <w:szCs w:val="22"/>
              </w:rPr>
            </w:pPr>
          </w:p>
        </w:tc>
        <w:tc>
          <w:tcPr>
            <w:tcW w:w="7156" w:type="dxa"/>
            <w:gridSpan w:val="6"/>
          </w:tcPr>
          <w:p w:rsidR="009D4862" w:rsidRPr="00D36DB6" w:rsidRDefault="009D4862" w:rsidP="004A2273">
            <w:pPr>
              <w:jc w:val="center"/>
              <w:rPr>
                <w:sz w:val="22"/>
                <w:szCs w:val="22"/>
              </w:rPr>
            </w:pPr>
            <w:r w:rsidRPr="00D36DB6">
              <w:rPr>
                <w:sz w:val="22"/>
                <w:szCs w:val="22"/>
              </w:rPr>
              <w:t xml:space="preserve">Todos los centros de enseñanza obligatoria tienen biblioteca, ordenadores, </w:t>
            </w:r>
            <w:r>
              <w:rPr>
                <w:sz w:val="22"/>
                <w:szCs w:val="22"/>
              </w:rPr>
              <w:t>cañones</w:t>
            </w:r>
            <w:r w:rsidRPr="00D36DB6">
              <w:rPr>
                <w:sz w:val="22"/>
                <w:szCs w:val="22"/>
              </w:rPr>
              <w:t>, gimnasio y laboratorio. Están bastante bien equipados.</w:t>
            </w:r>
          </w:p>
        </w:tc>
      </w:tr>
      <w:tr w:rsidR="009D4862" w:rsidRPr="00D36DB6" w:rsidTr="004A2273">
        <w:tblPrEx>
          <w:tblCellMar>
            <w:top w:w="0" w:type="dxa"/>
            <w:bottom w:w="0" w:type="dxa"/>
          </w:tblCellMar>
        </w:tblPrEx>
        <w:trPr>
          <w:cantSplit/>
        </w:trPr>
        <w:tc>
          <w:tcPr>
            <w:tcW w:w="1488" w:type="dxa"/>
            <w:vMerge w:val="restart"/>
          </w:tcPr>
          <w:p w:rsidR="009D4862" w:rsidRPr="00D36DB6" w:rsidRDefault="009D4862" w:rsidP="004A2273">
            <w:pPr>
              <w:rPr>
                <w:sz w:val="22"/>
                <w:szCs w:val="22"/>
              </w:rPr>
            </w:pPr>
            <w:r w:rsidRPr="00D36DB6">
              <w:rPr>
                <w:sz w:val="22"/>
                <w:szCs w:val="22"/>
              </w:rPr>
              <w:t>Sanidad</w:t>
            </w:r>
          </w:p>
        </w:tc>
        <w:tc>
          <w:tcPr>
            <w:tcW w:w="2017" w:type="dxa"/>
            <w:vMerge w:val="restart"/>
          </w:tcPr>
          <w:p w:rsidR="009D4862" w:rsidRPr="00D36DB6" w:rsidRDefault="009D4862" w:rsidP="004A2273">
            <w:pPr>
              <w:jc w:val="center"/>
              <w:rPr>
                <w:sz w:val="22"/>
                <w:szCs w:val="22"/>
              </w:rPr>
            </w:pPr>
            <w:r w:rsidRPr="00D36DB6">
              <w:rPr>
                <w:sz w:val="22"/>
                <w:szCs w:val="22"/>
              </w:rPr>
              <w:t xml:space="preserve">Sólo el </w:t>
            </w:r>
            <w:r>
              <w:rPr>
                <w:sz w:val="22"/>
                <w:szCs w:val="22"/>
              </w:rPr>
              <w:t>32</w:t>
            </w:r>
            <w:r w:rsidRPr="00D36DB6">
              <w:rPr>
                <w:sz w:val="22"/>
                <w:szCs w:val="22"/>
              </w:rPr>
              <w:t xml:space="preserve"> % de la población tiene asistencia médica gratuita</w:t>
            </w:r>
            <w:r>
              <w:rPr>
                <w:sz w:val="22"/>
                <w:szCs w:val="22"/>
              </w:rPr>
              <w:t xml:space="preserve"> pagada por el Estado: </w:t>
            </w:r>
            <w:r w:rsidRPr="00D36DB6">
              <w:rPr>
                <w:sz w:val="22"/>
                <w:szCs w:val="22"/>
              </w:rPr>
              <w:t>los mayores de 65 años</w:t>
            </w:r>
            <w:r>
              <w:rPr>
                <w:sz w:val="22"/>
                <w:szCs w:val="22"/>
              </w:rPr>
              <w:t xml:space="preserve"> y los más pobres</w:t>
            </w:r>
            <w:r w:rsidRPr="00D36DB6">
              <w:rPr>
                <w:sz w:val="22"/>
                <w:szCs w:val="22"/>
              </w:rPr>
              <w:t xml:space="preserve">. El </w:t>
            </w:r>
            <w:r>
              <w:rPr>
                <w:sz w:val="22"/>
                <w:szCs w:val="22"/>
              </w:rPr>
              <w:t>54</w:t>
            </w:r>
            <w:r w:rsidRPr="00D36DB6">
              <w:rPr>
                <w:sz w:val="22"/>
                <w:szCs w:val="22"/>
              </w:rPr>
              <w:t xml:space="preserve"> % </w:t>
            </w:r>
            <w:r>
              <w:rPr>
                <w:sz w:val="22"/>
                <w:szCs w:val="22"/>
              </w:rPr>
              <w:t>tienen</w:t>
            </w:r>
            <w:r w:rsidRPr="00D36DB6">
              <w:rPr>
                <w:sz w:val="22"/>
                <w:szCs w:val="22"/>
              </w:rPr>
              <w:t xml:space="preserve"> un seguro médico</w:t>
            </w:r>
            <w:r>
              <w:rPr>
                <w:sz w:val="22"/>
                <w:szCs w:val="22"/>
              </w:rPr>
              <w:t>, que paga su empresa y el 6 % un seguro que pagan ellos mismos</w:t>
            </w:r>
            <w:r w:rsidRPr="00D36DB6">
              <w:rPr>
                <w:sz w:val="22"/>
                <w:szCs w:val="22"/>
              </w:rPr>
              <w:t xml:space="preserve">. El </w:t>
            </w:r>
            <w:r>
              <w:rPr>
                <w:sz w:val="22"/>
                <w:szCs w:val="22"/>
              </w:rPr>
              <w:t>8</w:t>
            </w:r>
            <w:r w:rsidRPr="00D36DB6">
              <w:rPr>
                <w:sz w:val="22"/>
                <w:szCs w:val="22"/>
              </w:rPr>
              <w:t xml:space="preserve"> % de la población no tiene seguro y ha de pagar </w:t>
            </w:r>
            <w:r>
              <w:rPr>
                <w:sz w:val="22"/>
                <w:szCs w:val="22"/>
              </w:rPr>
              <w:t xml:space="preserve">mucho dinero </w:t>
            </w:r>
            <w:r w:rsidRPr="00D36DB6">
              <w:rPr>
                <w:sz w:val="22"/>
                <w:szCs w:val="22"/>
              </w:rPr>
              <w:t>cada vez que les atienden.</w:t>
            </w:r>
            <w:r>
              <w:rPr>
                <w:sz w:val="22"/>
                <w:szCs w:val="22"/>
              </w:rPr>
              <w:t xml:space="preserve"> De los que tienen seguro médico privado, el 61 % pagan un poco cada vez que van al médico (de 15 a 30 dólares) y el 39 % no pagan nada. Muchos seguros médicos no incluyen la ambulancia y eso suele costar entre  900 y 1300 dólares. </w:t>
            </w:r>
            <w:r w:rsidRPr="00D36DB6">
              <w:rPr>
                <w:sz w:val="22"/>
                <w:szCs w:val="22"/>
              </w:rPr>
              <w:t xml:space="preserve">Se muere de cáncer e infartos. Esperanza de vida de </w:t>
            </w:r>
            <w:r>
              <w:rPr>
                <w:sz w:val="22"/>
                <w:szCs w:val="22"/>
              </w:rPr>
              <w:t>81</w:t>
            </w:r>
            <w:r w:rsidRPr="00D36DB6">
              <w:rPr>
                <w:sz w:val="22"/>
                <w:szCs w:val="22"/>
              </w:rPr>
              <w:t xml:space="preserve"> años</w:t>
            </w:r>
          </w:p>
        </w:tc>
        <w:tc>
          <w:tcPr>
            <w:tcW w:w="1621" w:type="dxa"/>
          </w:tcPr>
          <w:p w:rsidR="009D4862" w:rsidRPr="00D36DB6" w:rsidRDefault="009D4862" w:rsidP="004A2273">
            <w:pPr>
              <w:jc w:val="center"/>
              <w:rPr>
                <w:sz w:val="22"/>
                <w:szCs w:val="22"/>
              </w:rPr>
            </w:pPr>
            <w:r w:rsidRPr="00D36DB6">
              <w:rPr>
                <w:sz w:val="22"/>
                <w:szCs w:val="22"/>
              </w:rPr>
              <w:t>Todo el mundo tiene asistencia sanitaria, pero hay que pagar el 30 % del coste cada vez que se va al médico. La mayoría de la gente contrata un seguro privado que les paga esa parte. Se muere de cáncer e infartos. Esperanza de vida de 8</w:t>
            </w:r>
            <w:r>
              <w:rPr>
                <w:sz w:val="22"/>
                <w:szCs w:val="22"/>
              </w:rPr>
              <w:t>5</w:t>
            </w:r>
            <w:r w:rsidRPr="00D36DB6">
              <w:rPr>
                <w:sz w:val="22"/>
                <w:szCs w:val="22"/>
              </w:rPr>
              <w:t xml:space="preserve"> años </w:t>
            </w:r>
          </w:p>
        </w:tc>
        <w:tc>
          <w:tcPr>
            <w:tcW w:w="1780" w:type="dxa"/>
            <w:gridSpan w:val="2"/>
          </w:tcPr>
          <w:p w:rsidR="009D4862" w:rsidRPr="00D36DB6" w:rsidRDefault="009D4862" w:rsidP="004A2273">
            <w:pPr>
              <w:jc w:val="center"/>
              <w:rPr>
                <w:sz w:val="22"/>
                <w:szCs w:val="22"/>
              </w:rPr>
            </w:pPr>
            <w:r w:rsidRPr="00D36DB6">
              <w:rPr>
                <w:sz w:val="22"/>
                <w:szCs w:val="22"/>
              </w:rPr>
              <w:t xml:space="preserve">Todo el mundo tiene asistencia sanitaria </w:t>
            </w:r>
            <w:r>
              <w:rPr>
                <w:sz w:val="22"/>
                <w:szCs w:val="22"/>
              </w:rPr>
              <w:t>muy barata</w:t>
            </w:r>
            <w:r w:rsidRPr="00D36DB6">
              <w:rPr>
                <w:sz w:val="22"/>
                <w:szCs w:val="22"/>
              </w:rPr>
              <w:t xml:space="preserve">. </w:t>
            </w:r>
            <w:r>
              <w:rPr>
                <w:sz w:val="22"/>
                <w:szCs w:val="22"/>
              </w:rPr>
              <w:t xml:space="preserve">Se paga 10 euros por cada visita al médico y 10 euros por cada día ingresado en el hospital. </w:t>
            </w:r>
            <w:r w:rsidRPr="00D36DB6">
              <w:rPr>
                <w:sz w:val="22"/>
                <w:szCs w:val="22"/>
              </w:rPr>
              <w:t xml:space="preserve">Se muere de cáncer e infartos. Esperanza de vida de </w:t>
            </w:r>
            <w:r>
              <w:rPr>
                <w:sz w:val="22"/>
                <w:szCs w:val="22"/>
              </w:rPr>
              <w:t>81</w:t>
            </w:r>
            <w:r w:rsidRPr="00D36DB6">
              <w:rPr>
                <w:sz w:val="22"/>
                <w:szCs w:val="22"/>
              </w:rPr>
              <w:t xml:space="preserve"> años </w:t>
            </w:r>
          </w:p>
        </w:tc>
        <w:tc>
          <w:tcPr>
            <w:tcW w:w="1738" w:type="dxa"/>
            <w:gridSpan w:val="2"/>
          </w:tcPr>
          <w:p w:rsidR="009D4862" w:rsidRPr="00D36DB6" w:rsidRDefault="009D4862" w:rsidP="004A2273">
            <w:pPr>
              <w:jc w:val="center"/>
              <w:rPr>
                <w:sz w:val="22"/>
                <w:szCs w:val="22"/>
              </w:rPr>
            </w:pPr>
            <w:r w:rsidRPr="00D36DB6">
              <w:rPr>
                <w:sz w:val="22"/>
                <w:szCs w:val="22"/>
              </w:rPr>
              <w:t xml:space="preserve">Todo el mundo tiene asistencia sanitaria </w:t>
            </w:r>
            <w:r>
              <w:rPr>
                <w:sz w:val="22"/>
                <w:szCs w:val="22"/>
              </w:rPr>
              <w:t>muy barata</w:t>
            </w:r>
            <w:r w:rsidRPr="00D36DB6">
              <w:rPr>
                <w:sz w:val="22"/>
                <w:szCs w:val="22"/>
              </w:rPr>
              <w:t xml:space="preserve">. </w:t>
            </w:r>
            <w:r>
              <w:rPr>
                <w:sz w:val="22"/>
                <w:szCs w:val="22"/>
              </w:rPr>
              <w:t xml:space="preserve">Se paga 23 euros por cada visita al médico y 18 euros por cada día ingresado en el hospital. </w:t>
            </w:r>
            <w:r w:rsidRPr="00D36DB6">
              <w:rPr>
                <w:sz w:val="22"/>
                <w:szCs w:val="22"/>
              </w:rPr>
              <w:t>Se muere de cáncer e infartos. Esperanza de vida de 8</w:t>
            </w:r>
            <w:r>
              <w:rPr>
                <w:sz w:val="22"/>
                <w:szCs w:val="22"/>
              </w:rPr>
              <w:t>2</w:t>
            </w:r>
            <w:r w:rsidRPr="00D36DB6">
              <w:rPr>
                <w:sz w:val="22"/>
                <w:szCs w:val="22"/>
              </w:rPr>
              <w:t xml:space="preserve"> años</w:t>
            </w:r>
          </w:p>
        </w:tc>
      </w:tr>
      <w:tr w:rsidR="009D4862" w:rsidRPr="00D36DB6" w:rsidTr="004A2273">
        <w:tblPrEx>
          <w:tblCellMar>
            <w:top w:w="0" w:type="dxa"/>
            <w:bottom w:w="0" w:type="dxa"/>
          </w:tblCellMar>
        </w:tblPrEx>
        <w:trPr>
          <w:cantSplit/>
        </w:trPr>
        <w:tc>
          <w:tcPr>
            <w:tcW w:w="1488" w:type="dxa"/>
            <w:vMerge/>
          </w:tcPr>
          <w:p w:rsidR="009D4862" w:rsidRPr="00D36DB6" w:rsidRDefault="009D4862" w:rsidP="004A2273">
            <w:pPr>
              <w:rPr>
                <w:sz w:val="22"/>
                <w:szCs w:val="22"/>
              </w:rPr>
            </w:pPr>
          </w:p>
        </w:tc>
        <w:tc>
          <w:tcPr>
            <w:tcW w:w="2017" w:type="dxa"/>
            <w:vMerge/>
          </w:tcPr>
          <w:p w:rsidR="009D4862" w:rsidRPr="00D36DB6" w:rsidRDefault="009D4862" w:rsidP="004A2273">
            <w:pPr>
              <w:jc w:val="center"/>
              <w:rPr>
                <w:sz w:val="22"/>
                <w:szCs w:val="22"/>
              </w:rPr>
            </w:pPr>
          </w:p>
        </w:tc>
        <w:tc>
          <w:tcPr>
            <w:tcW w:w="5139" w:type="dxa"/>
            <w:gridSpan w:val="5"/>
          </w:tcPr>
          <w:p w:rsidR="009D4862" w:rsidRPr="00D36DB6" w:rsidRDefault="009D4862" w:rsidP="004A2273">
            <w:pPr>
              <w:rPr>
                <w:sz w:val="22"/>
                <w:szCs w:val="22"/>
              </w:rPr>
            </w:pPr>
            <w:r w:rsidRPr="00D36DB6">
              <w:rPr>
                <w:sz w:val="22"/>
                <w:szCs w:val="22"/>
              </w:rPr>
              <w:t xml:space="preserve">Hay una red de hospitales públicos muy completa. Casi todo el mundo tiene un hospital a menos de </w:t>
            </w:r>
            <w:smartTag w:uri="urn:schemas-microsoft-com:office:smarttags" w:element="metricconverter">
              <w:smartTagPr>
                <w:attr w:name="ProductID" w:val="50 km"/>
              </w:smartTagPr>
              <w:r w:rsidRPr="00D36DB6">
                <w:rPr>
                  <w:sz w:val="22"/>
                  <w:szCs w:val="22"/>
                </w:rPr>
                <w:t>50 km</w:t>
              </w:r>
            </w:smartTag>
            <w:r w:rsidRPr="00D36DB6">
              <w:rPr>
                <w:sz w:val="22"/>
                <w:szCs w:val="22"/>
              </w:rPr>
              <w:t>, pues los hay incluso en las ciudades pequeñas. En los pueblos grandes hay centros de salud y en los pequeños hay consultorios médicos.</w:t>
            </w:r>
          </w:p>
        </w:tc>
      </w:tr>
      <w:tr w:rsidR="009D4862" w:rsidRPr="00D36DB6" w:rsidTr="004A2273">
        <w:tblPrEx>
          <w:tblCellMar>
            <w:top w:w="0" w:type="dxa"/>
            <w:bottom w:w="0" w:type="dxa"/>
          </w:tblCellMar>
        </w:tblPrEx>
        <w:trPr>
          <w:cantSplit/>
          <w:trHeight w:val="1105"/>
        </w:trPr>
        <w:tc>
          <w:tcPr>
            <w:tcW w:w="1488" w:type="dxa"/>
          </w:tcPr>
          <w:p w:rsidR="009D4862" w:rsidRPr="00D36DB6" w:rsidRDefault="009D4862" w:rsidP="004A2273">
            <w:pPr>
              <w:rPr>
                <w:sz w:val="22"/>
                <w:szCs w:val="22"/>
              </w:rPr>
            </w:pPr>
            <w:r w:rsidRPr="00D36DB6">
              <w:rPr>
                <w:sz w:val="22"/>
                <w:szCs w:val="22"/>
              </w:rPr>
              <w:t>Teléfonos</w:t>
            </w:r>
          </w:p>
        </w:tc>
        <w:tc>
          <w:tcPr>
            <w:tcW w:w="7156" w:type="dxa"/>
            <w:gridSpan w:val="6"/>
            <w:tcBorders>
              <w:right w:val="single" w:sz="4" w:space="0" w:color="auto"/>
            </w:tcBorders>
          </w:tcPr>
          <w:p w:rsidR="009D4862" w:rsidRPr="00D36DB6" w:rsidRDefault="009D4862" w:rsidP="004A2273">
            <w:pPr>
              <w:rPr>
                <w:sz w:val="22"/>
                <w:szCs w:val="22"/>
              </w:rPr>
            </w:pPr>
            <w:r>
              <w:rPr>
                <w:sz w:val="22"/>
                <w:szCs w:val="22"/>
              </w:rPr>
              <w:t>El 99 % de la población tiene teléfono móvil. En Estados Unidos tiene teléfono fijo el 25 % de la población, en Japón un 49 %, en Alemania un 48 % y en Francia un 29 %.</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Televisores</w:t>
            </w:r>
          </w:p>
        </w:tc>
        <w:tc>
          <w:tcPr>
            <w:tcW w:w="2017" w:type="dxa"/>
          </w:tcPr>
          <w:p w:rsidR="009D4862" w:rsidRPr="00D36DB6" w:rsidRDefault="009D4862" w:rsidP="004A2273">
            <w:pPr>
              <w:rPr>
                <w:sz w:val="22"/>
                <w:szCs w:val="22"/>
              </w:rPr>
            </w:pPr>
            <w:r w:rsidRPr="00D36DB6">
              <w:rPr>
                <w:sz w:val="22"/>
                <w:szCs w:val="22"/>
              </w:rPr>
              <w:t>3 por familia</w:t>
            </w:r>
            <w:r>
              <w:rPr>
                <w:sz w:val="22"/>
                <w:szCs w:val="22"/>
              </w:rPr>
              <w:t xml:space="preserve">. Solo hay cinco canales gratuitos. La gente paga por ver más canales por cable o por ver </w:t>
            </w:r>
            <w:proofErr w:type="spellStart"/>
            <w:r>
              <w:rPr>
                <w:sz w:val="22"/>
                <w:szCs w:val="22"/>
              </w:rPr>
              <w:t>netflix</w:t>
            </w:r>
            <w:proofErr w:type="spellEnd"/>
            <w:r>
              <w:rPr>
                <w:sz w:val="22"/>
                <w:szCs w:val="22"/>
              </w:rPr>
              <w:t>.</w:t>
            </w:r>
          </w:p>
        </w:tc>
        <w:tc>
          <w:tcPr>
            <w:tcW w:w="5139" w:type="dxa"/>
            <w:gridSpan w:val="5"/>
          </w:tcPr>
          <w:p w:rsidR="009D4862" w:rsidRPr="00D36DB6" w:rsidRDefault="009D4862" w:rsidP="004A2273">
            <w:pPr>
              <w:jc w:val="center"/>
              <w:rPr>
                <w:sz w:val="22"/>
                <w:szCs w:val="22"/>
              </w:rPr>
            </w:pPr>
            <w:r w:rsidRPr="00D36DB6">
              <w:rPr>
                <w:sz w:val="22"/>
                <w:szCs w:val="22"/>
              </w:rPr>
              <w:t xml:space="preserve">2 </w:t>
            </w:r>
            <w:proofErr w:type="spellStart"/>
            <w:r w:rsidRPr="00D36DB6">
              <w:rPr>
                <w:sz w:val="22"/>
                <w:szCs w:val="22"/>
              </w:rPr>
              <w:t>ó</w:t>
            </w:r>
            <w:proofErr w:type="spellEnd"/>
            <w:r w:rsidRPr="00D36DB6">
              <w:rPr>
                <w:sz w:val="22"/>
                <w:szCs w:val="22"/>
              </w:rPr>
              <w:t xml:space="preserve"> 3 por familia</w:t>
            </w:r>
            <w:r>
              <w:rPr>
                <w:sz w:val="22"/>
                <w:szCs w:val="22"/>
              </w:rPr>
              <w:t>. En Alemania se paga un impuesto especial por tener televisor.</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Ordenadores</w:t>
            </w:r>
          </w:p>
        </w:tc>
        <w:tc>
          <w:tcPr>
            <w:tcW w:w="2017" w:type="dxa"/>
          </w:tcPr>
          <w:p w:rsidR="009D4862" w:rsidRPr="00D36DB6" w:rsidRDefault="009D4862" w:rsidP="004A2273">
            <w:pPr>
              <w:rPr>
                <w:sz w:val="22"/>
                <w:szCs w:val="22"/>
              </w:rPr>
            </w:pPr>
            <w:r w:rsidRPr="00D36DB6">
              <w:rPr>
                <w:sz w:val="22"/>
                <w:szCs w:val="22"/>
              </w:rPr>
              <w:t>El 76 % de las familias tienen ordenador</w:t>
            </w:r>
          </w:p>
        </w:tc>
        <w:tc>
          <w:tcPr>
            <w:tcW w:w="5139" w:type="dxa"/>
            <w:gridSpan w:val="5"/>
          </w:tcPr>
          <w:p w:rsidR="009D4862" w:rsidRPr="00D36DB6" w:rsidRDefault="009D4862" w:rsidP="004A2273">
            <w:pPr>
              <w:jc w:val="center"/>
              <w:rPr>
                <w:sz w:val="22"/>
                <w:szCs w:val="22"/>
              </w:rPr>
            </w:pPr>
            <w:r w:rsidRPr="00D36DB6">
              <w:rPr>
                <w:sz w:val="22"/>
                <w:szCs w:val="22"/>
              </w:rPr>
              <w:t>El 55 % de las familias tienen ordenador</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lastRenderedPageBreak/>
              <w:t>Coches</w:t>
            </w:r>
          </w:p>
        </w:tc>
        <w:tc>
          <w:tcPr>
            <w:tcW w:w="2017" w:type="dxa"/>
          </w:tcPr>
          <w:p w:rsidR="009D4862" w:rsidRPr="00D36DB6" w:rsidRDefault="009D4862" w:rsidP="004A2273">
            <w:pPr>
              <w:rPr>
                <w:sz w:val="22"/>
                <w:szCs w:val="22"/>
              </w:rPr>
            </w:pPr>
            <w:r w:rsidRPr="00D36DB6">
              <w:rPr>
                <w:sz w:val="22"/>
                <w:szCs w:val="22"/>
              </w:rPr>
              <w:t xml:space="preserve">2 </w:t>
            </w:r>
            <w:r>
              <w:rPr>
                <w:sz w:val="22"/>
                <w:szCs w:val="22"/>
              </w:rPr>
              <w:t xml:space="preserve">o 3 </w:t>
            </w:r>
            <w:r w:rsidRPr="00D36DB6">
              <w:rPr>
                <w:sz w:val="22"/>
                <w:szCs w:val="22"/>
              </w:rPr>
              <w:t>por familia. Casi todos de menos de 10 años. En el centro de las ciudades es difícil encontrar sitio para aparcar. Con 16 años ya se puede conducir.</w:t>
            </w:r>
          </w:p>
        </w:tc>
        <w:tc>
          <w:tcPr>
            <w:tcW w:w="5139" w:type="dxa"/>
            <w:gridSpan w:val="5"/>
          </w:tcPr>
          <w:p w:rsidR="009D4862" w:rsidRPr="00D36DB6" w:rsidRDefault="009D4862" w:rsidP="004A2273">
            <w:pPr>
              <w:jc w:val="center"/>
              <w:rPr>
                <w:sz w:val="22"/>
                <w:szCs w:val="22"/>
              </w:rPr>
            </w:pPr>
            <w:r>
              <w:rPr>
                <w:sz w:val="22"/>
                <w:szCs w:val="22"/>
              </w:rPr>
              <w:t>2</w:t>
            </w:r>
            <w:r w:rsidRPr="00D36DB6">
              <w:rPr>
                <w:sz w:val="22"/>
                <w:szCs w:val="22"/>
              </w:rPr>
              <w:t xml:space="preserve"> por familia. Casi todos de menos de 10 años. En las ciudades es difícil encontrar sitio para aparcar. En Japón se conduce por la izquierda y se ven muchas bicis por la calle.</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Salario medio (1)</w:t>
            </w:r>
          </w:p>
        </w:tc>
        <w:tc>
          <w:tcPr>
            <w:tcW w:w="2017" w:type="dxa"/>
          </w:tcPr>
          <w:p w:rsidR="009D4862" w:rsidRPr="00D36DB6" w:rsidRDefault="009D4862" w:rsidP="004A2273">
            <w:pPr>
              <w:rPr>
                <w:sz w:val="22"/>
                <w:szCs w:val="22"/>
              </w:rPr>
            </w:pPr>
            <w:r>
              <w:rPr>
                <w:sz w:val="22"/>
                <w:szCs w:val="22"/>
              </w:rPr>
              <w:t>39</w:t>
            </w:r>
            <w:r w:rsidRPr="00D36DB6">
              <w:rPr>
                <w:sz w:val="22"/>
                <w:szCs w:val="22"/>
              </w:rPr>
              <w:t>00 dólares al mes (</w:t>
            </w:r>
            <w:r>
              <w:rPr>
                <w:sz w:val="22"/>
                <w:szCs w:val="22"/>
              </w:rPr>
              <w:t>34</w:t>
            </w:r>
            <w:r w:rsidRPr="00D36DB6">
              <w:rPr>
                <w:sz w:val="22"/>
                <w:szCs w:val="22"/>
              </w:rPr>
              <w:t>00 euros)</w:t>
            </w:r>
          </w:p>
        </w:tc>
        <w:tc>
          <w:tcPr>
            <w:tcW w:w="1621" w:type="dxa"/>
          </w:tcPr>
          <w:p w:rsidR="009D4862" w:rsidRPr="00D36DB6" w:rsidRDefault="009D4862" w:rsidP="004A2273">
            <w:pPr>
              <w:jc w:val="center"/>
              <w:rPr>
                <w:sz w:val="22"/>
                <w:szCs w:val="22"/>
              </w:rPr>
            </w:pPr>
            <w:r w:rsidRPr="00D36DB6">
              <w:rPr>
                <w:sz w:val="22"/>
                <w:szCs w:val="22"/>
              </w:rPr>
              <w:t>2</w:t>
            </w:r>
            <w:r>
              <w:rPr>
                <w:sz w:val="22"/>
                <w:szCs w:val="22"/>
              </w:rPr>
              <w:t>62</w:t>
            </w:r>
            <w:r w:rsidRPr="00D36DB6">
              <w:rPr>
                <w:sz w:val="22"/>
                <w:szCs w:val="22"/>
              </w:rPr>
              <w:t>.000 yen</w:t>
            </w:r>
            <w:r>
              <w:rPr>
                <w:sz w:val="22"/>
                <w:szCs w:val="22"/>
              </w:rPr>
              <w:t>e</w:t>
            </w:r>
            <w:r w:rsidRPr="00D36DB6">
              <w:rPr>
                <w:sz w:val="22"/>
                <w:szCs w:val="22"/>
              </w:rPr>
              <w:t>s al mes (</w:t>
            </w:r>
            <w:r>
              <w:rPr>
                <w:sz w:val="22"/>
                <w:szCs w:val="22"/>
              </w:rPr>
              <w:t>2000</w:t>
            </w:r>
            <w:r w:rsidRPr="00D36DB6">
              <w:rPr>
                <w:sz w:val="22"/>
                <w:szCs w:val="22"/>
              </w:rPr>
              <w:t xml:space="preserve"> euros), aunque durante los dos o tres primeros años en la empresa ganan muy poco</w:t>
            </w:r>
          </w:p>
        </w:tc>
        <w:tc>
          <w:tcPr>
            <w:tcW w:w="1759" w:type="dxa"/>
          </w:tcPr>
          <w:p w:rsidR="009D4862" w:rsidRPr="00D36DB6" w:rsidRDefault="009D4862" w:rsidP="004A2273">
            <w:pPr>
              <w:jc w:val="center"/>
              <w:rPr>
                <w:sz w:val="22"/>
                <w:szCs w:val="22"/>
              </w:rPr>
            </w:pPr>
            <w:r>
              <w:rPr>
                <w:sz w:val="22"/>
                <w:szCs w:val="22"/>
              </w:rPr>
              <w:t>2500 euros al mes</w:t>
            </w:r>
          </w:p>
        </w:tc>
        <w:tc>
          <w:tcPr>
            <w:tcW w:w="1759" w:type="dxa"/>
            <w:gridSpan w:val="3"/>
          </w:tcPr>
          <w:p w:rsidR="009D4862" w:rsidRPr="00D36DB6" w:rsidRDefault="009D4862" w:rsidP="004A2273">
            <w:pPr>
              <w:jc w:val="center"/>
              <w:rPr>
                <w:sz w:val="22"/>
                <w:szCs w:val="22"/>
              </w:rPr>
            </w:pPr>
            <w:r>
              <w:rPr>
                <w:sz w:val="22"/>
                <w:szCs w:val="22"/>
              </w:rPr>
              <w:t>2200 euros al mes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Precios (en euros) (2)</w:t>
            </w:r>
          </w:p>
        </w:tc>
        <w:tc>
          <w:tcPr>
            <w:tcW w:w="2017" w:type="dxa"/>
          </w:tcPr>
          <w:p w:rsidR="009D4862" w:rsidRPr="00D36DB6" w:rsidRDefault="009D4862" w:rsidP="004A2273">
            <w:pPr>
              <w:rPr>
                <w:sz w:val="22"/>
                <w:szCs w:val="22"/>
              </w:rPr>
            </w:pPr>
            <w:r w:rsidRPr="00D36DB6">
              <w:rPr>
                <w:sz w:val="22"/>
                <w:szCs w:val="22"/>
              </w:rPr>
              <w:t xml:space="preserve">Coche nuevo- 16.000 </w:t>
            </w:r>
          </w:p>
          <w:p w:rsidR="009D4862" w:rsidRPr="00D36DB6" w:rsidRDefault="009D4862" w:rsidP="004A2273">
            <w:pPr>
              <w:rPr>
                <w:sz w:val="22"/>
                <w:szCs w:val="22"/>
              </w:rPr>
            </w:pPr>
            <w:r w:rsidRPr="00D36DB6">
              <w:rPr>
                <w:sz w:val="22"/>
                <w:szCs w:val="22"/>
              </w:rPr>
              <w:t>Alquiler casa- 630 al mes</w:t>
            </w:r>
          </w:p>
          <w:p w:rsidR="009D4862" w:rsidRPr="00D36DB6" w:rsidRDefault="009D4862" w:rsidP="004A2273">
            <w:pPr>
              <w:rPr>
                <w:sz w:val="22"/>
                <w:szCs w:val="22"/>
              </w:rPr>
            </w:pPr>
            <w:r w:rsidRPr="00D36DB6">
              <w:rPr>
                <w:sz w:val="22"/>
                <w:szCs w:val="22"/>
              </w:rPr>
              <w:t>Comida- 100 al mes por persona</w:t>
            </w:r>
          </w:p>
        </w:tc>
        <w:tc>
          <w:tcPr>
            <w:tcW w:w="1621" w:type="dxa"/>
          </w:tcPr>
          <w:p w:rsidR="009D4862" w:rsidRPr="00D36DB6" w:rsidRDefault="009D4862" w:rsidP="004A2273">
            <w:pPr>
              <w:jc w:val="center"/>
              <w:rPr>
                <w:sz w:val="22"/>
                <w:szCs w:val="22"/>
              </w:rPr>
            </w:pPr>
            <w:r w:rsidRPr="00D36DB6">
              <w:rPr>
                <w:sz w:val="22"/>
                <w:szCs w:val="22"/>
              </w:rPr>
              <w:t>Coche nuevo- 16.000</w:t>
            </w:r>
          </w:p>
          <w:p w:rsidR="009D4862" w:rsidRPr="00D36DB6" w:rsidRDefault="009D4862" w:rsidP="004A2273">
            <w:pPr>
              <w:jc w:val="center"/>
              <w:rPr>
                <w:sz w:val="22"/>
                <w:szCs w:val="22"/>
              </w:rPr>
            </w:pPr>
            <w:r w:rsidRPr="00D36DB6">
              <w:rPr>
                <w:sz w:val="22"/>
                <w:szCs w:val="22"/>
              </w:rPr>
              <w:t>Alquiler- 1000 al mes</w:t>
            </w:r>
          </w:p>
          <w:p w:rsidR="009D4862" w:rsidRPr="00D36DB6" w:rsidRDefault="009D4862" w:rsidP="004A2273">
            <w:pPr>
              <w:jc w:val="center"/>
              <w:rPr>
                <w:sz w:val="22"/>
                <w:szCs w:val="22"/>
              </w:rPr>
            </w:pPr>
            <w:r w:rsidRPr="00D36DB6">
              <w:rPr>
                <w:sz w:val="22"/>
                <w:szCs w:val="22"/>
              </w:rPr>
              <w:t>Comida- 220 al mes por persona</w:t>
            </w:r>
          </w:p>
        </w:tc>
        <w:tc>
          <w:tcPr>
            <w:tcW w:w="3518" w:type="dxa"/>
            <w:gridSpan w:val="4"/>
          </w:tcPr>
          <w:p w:rsidR="009D4862" w:rsidRPr="00D36DB6" w:rsidRDefault="009D4862" w:rsidP="004A2273">
            <w:pPr>
              <w:jc w:val="center"/>
              <w:rPr>
                <w:sz w:val="22"/>
                <w:szCs w:val="22"/>
              </w:rPr>
            </w:pPr>
            <w:r w:rsidRPr="00D36DB6">
              <w:rPr>
                <w:sz w:val="22"/>
                <w:szCs w:val="22"/>
              </w:rPr>
              <w:t>Coche nuevo- 16.000</w:t>
            </w:r>
          </w:p>
          <w:p w:rsidR="009D4862" w:rsidRPr="00D36DB6" w:rsidRDefault="009D4862" w:rsidP="004A2273">
            <w:pPr>
              <w:jc w:val="center"/>
              <w:rPr>
                <w:sz w:val="22"/>
                <w:szCs w:val="22"/>
              </w:rPr>
            </w:pPr>
            <w:r w:rsidRPr="00D36DB6">
              <w:rPr>
                <w:sz w:val="22"/>
                <w:szCs w:val="22"/>
              </w:rPr>
              <w:t>Alquiler casa- 750 al mes</w:t>
            </w:r>
          </w:p>
          <w:p w:rsidR="009D4862" w:rsidRPr="00D36DB6" w:rsidRDefault="009D4862" w:rsidP="004A2273">
            <w:pPr>
              <w:jc w:val="center"/>
              <w:rPr>
                <w:sz w:val="22"/>
                <w:szCs w:val="22"/>
              </w:rPr>
            </w:pPr>
            <w:r w:rsidRPr="00D36DB6">
              <w:rPr>
                <w:sz w:val="22"/>
                <w:szCs w:val="22"/>
              </w:rPr>
              <w:t>Comida- 140 al mes por persona</w:t>
            </w:r>
          </w:p>
        </w:tc>
      </w:tr>
      <w:tr w:rsidR="009D4862" w:rsidRPr="00D36DB6" w:rsidTr="004A2273">
        <w:tblPrEx>
          <w:tblCellMar>
            <w:top w:w="0" w:type="dxa"/>
            <w:bottom w:w="0" w:type="dxa"/>
          </w:tblCellMar>
        </w:tblPrEx>
        <w:trPr>
          <w:cantSplit/>
          <w:trHeight w:val="4200"/>
        </w:trPr>
        <w:tc>
          <w:tcPr>
            <w:tcW w:w="1488" w:type="dxa"/>
            <w:vMerge w:val="restart"/>
          </w:tcPr>
          <w:p w:rsidR="009D4862" w:rsidRPr="00D36DB6" w:rsidRDefault="009D4862" w:rsidP="004A2273">
            <w:pPr>
              <w:rPr>
                <w:sz w:val="22"/>
                <w:szCs w:val="22"/>
              </w:rPr>
            </w:pPr>
            <w:r w:rsidRPr="00D36DB6">
              <w:rPr>
                <w:sz w:val="22"/>
                <w:szCs w:val="22"/>
              </w:rPr>
              <w:t>Condiciones de trabajo</w:t>
            </w:r>
          </w:p>
        </w:tc>
        <w:tc>
          <w:tcPr>
            <w:tcW w:w="2017" w:type="dxa"/>
            <w:vMerge w:val="restart"/>
          </w:tcPr>
          <w:p w:rsidR="009D4862" w:rsidRPr="00D36DB6" w:rsidRDefault="009D4862" w:rsidP="004A2273">
            <w:pPr>
              <w:rPr>
                <w:sz w:val="22"/>
                <w:szCs w:val="22"/>
              </w:rPr>
            </w:pPr>
            <w:r w:rsidRPr="00D36DB6">
              <w:rPr>
                <w:sz w:val="22"/>
                <w:szCs w:val="22"/>
              </w:rPr>
              <w:t xml:space="preserve">40 horas semanales de trabajo. Dos semanas de vacaciones al año. Un </w:t>
            </w:r>
            <w:r>
              <w:rPr>
                <w:sz w:val="22"/>
                <w:szCs w:val="22"/>
              </w:rPr>
              <w:t>3</w:t>
            </w:r>
            <w:r w:rsidRPr="00D36DB6">
              <w:rPr>
                <w:sz w:val="22"/>
                <w:szCs w:val="22"/>
              </w:rPr>
              <w:t xml:space="preserve"> % de personas están en paro. La gente cambia de trabajo y de ciudad a menudo. No se paga indemnización en caso de despido, ni hay baja remunerada en caso de maternidad. </w:t>
            </w:r>
            <w:r>
              <w:rPr>
                <w:sz w:val="22"/>
                <w:szCs w:val="22"/>
              </w:rPr>
              <w:t>Muchas</w:t>
            </w:r>
            <w:r w:rsidRPr="00D36DB6">
              <w:rPr>
                <w:sz w:val="22"/>
                <w:szCs w:val="22"/>
              </w:rPr>
              <w:t xml:space="preserve"> empresas pagan el seguro médico de sus empleados.</w:t>
            </w:r>
          </w:p>
        </w:tc>
        <w:tc>
          <w:tcPr>
            <w:tcW w:w="1621" w:type="dxa"/>
          </w:tcPr>
          <w:p w:rsidR="009D4862" w:rsidRPr="00D36DB6" w:rsidRDefault="009D4862" w:rsidP="004A2273">
            <w:pPr>
              <w:rPr>
                <w:sz w:val="22"/>
                <w:szCs w:val="22"/>
              </w:rPr>
            </w:pPr>
            <w:r w:rsidRPr="00D36DB6">
              <w:rPr>
                <w:sz w:val="22"/>
                <w:szCs w:val="22"/>
              </w:rPr>
              <w:t xml:space="preserve">40 horas semanales de trabajo (más seis horas extras, sobre todo los hombres). Una semana de vacaciones al año. </w:t>
            </w:r>
            <w:r>
              <w:rPr>
                <w:sz w:val="22"/>
                <w:szCs w:val="22"/>
              </w:rPr>
              <w:t>2</w:t>
            </w:r>
            <w:r w:rsidRPr="00D36DB6">
              <w:rPr>
                <w:sz w:val="22"/>
                <w:szCs w:val="22"/>
              </w:rPr>
              <w:t xml:space="preserve"> % de personas en paro. Casi todos los contratos son fijos.</w:t>
            </w:r>
          </w:p>
        </w:tc>
        <w:tc>
          <w:tcPr>
            <w:tcW w:w="1780" w:type="dxa"/>
            <w:gridSpan w:val="2"/>
          </w:tcPr>
          <w:p w:rsidR="009D4862" w:rsidRPr="00D36DB6" w:rsidRDefault="009D4862" w:rsidP="004A2273">
            <w:pPr>
              <w:rPr>
                <w:sz w:val="22"/>
                <w:szCs w:val="22"/>
              </w:rPr>
            </w:pPr>
            <w:r w:rsidRPr="00D36DB6">
              <w:rPr>
                <w:sz w:val="22"/>
                <w:szCs w:val="22"/>
              </w:rPr>
              <w:t xml:space="preserve">38 horas semanales de trabajo. </w:t>
            </w:r>
            <w:r>
              <w:rPr>
                <w:sz w:val="22"/>
                <w:szCs w:val="22"/>
              </w:rPr>
              <w:t>42 días</w:t>
            </w:r>
            <w:r w:rsidRPr="00D36DB6">
              <w:rPr>
                <w:sz w:val="22"/>
                <w:szCs w:val="22"/>
              </w:rPr>
              <w:t xml:space="preserve"> de vacaciones al año. </w:t>
            </w:r>
            <w:r>
              <w:rPr>
                <w:sz w:val="22"/>
                <w:szCs w:val="22"/>
              </w:rPr>
              <w:t>3</w:t>
            </w:r>
            <w:r w:rsidRPr="00D36DB6">
              <w:rPr>
                <w:sz w:val="22"/>
                <w:szCs w:val="22"/>
              </w:rPr>
              <w:t xml:space="preserve"> % de personas en paro. </w:t>
            </w:r>
            <w:r>
              <w:rPr>
                <w:sz w:val="22"/>
                <w:szCs w:val="22"/>
              </w:rPr>
              <w:t>Las empresas pagan indemnización en caso de despido solo si es porque la empresa pierde dinero.</w:t>
            </w:r>
          </w:p>
        </w:tc>
        <w:tc>
          <w:tcPr>
            <w:tcW w:w="1738" w:type="dxa"/>
            <w:gridSpan w:val="2"/>
            <w:vMerge w:val="restart"/>
          </w:tcPr>
          <w:p w:rsidR="009D4862" w:rsidRPr="00D36DB6" w:rsidRDefault="009D4862" w:rsidP="004A2273">
            <w:pPr>
              <w:rPr>
                <w:sz w:val="22"/>
                <w:szCs w:val="22"/>
              </w:rPr>
            </w:pPr>
            <w:r w:rsidRPr="00D36DB6">
              <w:rPr>
                <w:sz w:val="22"/>
                <w:szCs w:val="22"/>
              </w:rPr>
              <w:t xml:space="preserve">35 horas semanales de trabajo. </w:t>
            </w:r>
            <w:r>
              <w:rPr>
                <w:sz w:val="22"/>
                <w:szCs w:val="22"/>
              </w:rPr>
              <w:t>35 días</w:t>
            </w:r>
            <w:r w:rsidRPr="00D36DB6">
              <w:rPr>
                <w:sz w:val="22"/>
                <w:szCs w:val="22"/>
              </w:rPr>
              <w:t xml:space="preserve"> de vacaciones al año. </w:t>
            </w:r>
            <w:r>
              <w:rPr>
                <w:sz w:val="22"/>
                <w:szCs w:val="22"/>
              </w:rPr>
              <w:t>8</w:t>
            </w:r>
            <w:r w:rsidRPr="00D36DB6">
              <w:rPr>
                <w:sz w:val="22"/>
                <w:szCs w:val="22"/>
              </w:rPr>
              <w:t xml:space="preserve"> % de personas en paro. Las empresas pagan indemnización en caso de despido. También hay baja de maternidad remunerada.</w:t>
            </w:r>
          </w:p>
        </w:tc>
      </w:tr>
      <w:tr w:rsidR="009D4862" w:rsidRPr="00D36DB6" w:rsidTr="004A2273">
        <w:tblPrEx>
          <w:tblCellMar>
            <w:top w:w="0" w:type="dxa"/>
            <w:bottom w:w="0" w:type="dxa"/>
          </w:tblCellMar>
        </w:tblPrEx>
        <w:trPr>
          <w:cantSplit/>
          <w:trHeight w:val="1930"/>
        </w:trPr>
        <w:tc>
          <w:tcPr>
            <w:tcW w:w="1488" w:type="dxa"/>
            <w:vMerge/>
            <w:tcBorders>
              <w:bottom w:val="single" w:sz="4" w:space="0" w:color="auto"/>
            </w:tcBorders>
          </w:tcPr>
          <w:p w:rsidR="009D4862" w:rsidRPr="00D36DB6" w:rsidRDefault="009D4862" w:rsidP="004A2273">
            <w:pPr>
              <w:rPr>
                <w:sz w:val="22"/>
                <w:szCs w:val="22"/>
              </w:rPr>
            </w:pPr>
          </w:p>
        </w:tc>
        <w:tc>
          <w:tcPr>
            <w:tcW w:w="2017" w:type="dxa"/>
            <w:vMerge/>
            <w:tcBorders>
              <w:bottom w:val="single" w:sz="4" w:space="0" w:color="auto"/>
            </w:tcBorders>
          </w:tcPr>
          <w:p w:rsidR="009D4862" w:rsidRPr="00D36DB6" w:rsidRDefault="009D4862" w:rsidP="004A2273">
            <w:pPr>
              <w:rPr>
                <w:sz w:val="22"/>
                <w:szCs w:val="22"/>
              </w:rPr>
            </w:pPr>
          </w:p>
        </w:tc>
        <w:tc>
          <w:tcPr>
            <w:tcW w:w="3401" w:type="dxa"/>
            <w:gridSpan w:val="3"/>
            <w:tcBorders>
              <w:bottom w:val="single" w:sz="4" w:space="0" w:color="auto"/>
            </w:tcBorders>
          </w:tcPr>
          <w:p w:rsidR="009D4862" w:rsidRPr="00D36DB6" w:rsidRDefault="009D4862" w:rsidP="004A2273">
            <w:pPr>
              <w:rPr>
                <w:sz w:val="22"/>
                <w:szCs w:val="22"/>
              </w:rPr>
            </w:pPr>
            <w:r w:rsidRPr="00D36DB6">
              <w:rPr>
                <w:sz w:val="22"/>
                <w:szCs w:val="22"/>
              </w:rPr>
              <w:t>En caso de maternidad hay derecho a 14 semanas pagadas, sin ir a trabajar.</w:t>
            </w:r>
          </w:p>
        </w:tc>
        <w:tc>
          <w:tcPr>
            <w:tcW w:w="1738" w:type="dxa"/>
            <w:gridSpan w:val="2"/>
            <w:vMerge/>
            <w:tcBorders>
              <w:bottom w:val="nil"/>
            </w:tcBorders>
          </w:tcPr>
          <w:p w:rsidR="009D4862" w:rsidRPr="00D36DB6" w:rsidRDefault="009D4862" w:rsidP="004A2273">
            <w:pPr>
              <w:rPr>
                <w:sz w:val="22"/>
                <w:szCs w:val="22"/>
              </w:rPr>
            </w:pPr>
          </w:p>
        </w:tc>
      </w:tr>
      <w:tr w:rsidR="009D4862" w:rsidRPr="00D36DB6" w:rsidTr="004A2273">
        <w:tblPrEx>
          <w:tblCellMar>
            <w:top w:w="0" w:type="dxa"/>
            <w:bottom w:w="0" w:type="dxa"/>
          </w:tblCellMar>
        </w:tblPrEx>
        <w:trPr>
          <w:cantSplit/>
        </w:trPr>
        <w:tc>
          <w:tcPr>
            <w:tcW w:w="1488" w:type="dxa"/>
            <w:vMerge w:val="restart"/>
          </w:tcPr>
          <w:p w:rsidR="009D4862" w:rsidRPr="00D36DB6" w:rsidRDefault="009D4862" w:rsidP="004A2273">
            <w:pPr>
              <w:rPr>
                <w:sz w:val="22"/>
                <w:szCs w:val="22"/>
              </w:rPr>
            </w:pPr>
            <w:r w:rsidRPr="00D36DB6">
              <w:rPr>
                <w:sz w:val="22"/>
                <w:szCs w:val="22"/>
              </w:rPr>
              <w:t>Ocio</w:t>
            </w:r>
          </w:p>
        </w:tc>
        <w:tc>
          <w:tcPr>
            <w:tcW w:w="2017" w:type="dxa"/>
          </w:tcPr>
          <w:p w:rsidR="009D4862" w:rsidRPr="00D36DB6" w:rsidRDefault="009D4862" w:rsidP="004A2273">
            <w:pPr>
              <w:rPr>
                <w:sz w:val="22"/>
                <w:szCs w:val="22"/>
              </w:rPr>
            </w:pPr>
            <w:r w:rsidRPr="00D36DB6">
              <w:rPr>
                <w:sz w:val="22"/>
                <w:szCs w:val="22"/>
              </w:rPr>
              <w:t>Los deportes más populares son el fútbol americano (</w:t>
            </w:r>
            <w:r>
              <w:rPr>
                <w:sz w:val="22"/>
                <w:szCs w:val="22"/>
              </w:rPr>
              <w:t xml:space="preserve">un deporte parecido al </w:t>
            </w:r>
            <w:r w:rsidRPr="00D36DB6">
              <w:rPr>
                <w:sz w:val="22"/>
                <w:szCs w:val="22"/>
              </w:rPr>
              <w:t>rugby), el béisbol y el baloncesto.</w:t>
            </w:r>
          </w:p>
        </w:tc>
        <w:tc>
          <w:tcPr>
            <w:tcW w:w="1621" w:type="dxa"/>
          </w:tcPr>
          <w:p w:rsidR="009D4862" w:rsidRPr="00D36DB6" w:rsidRDefault="009D4862" w:rsidP="004A2273">
            <w:pPr>
              <w:rPr>
                <w:sz w:val="22"/>
                <w:szCs w:val="22"/>
              </w:rPr>
            </w:pPr>
            <w:r w:rsidRPr="00D36DB6">
              <w:rPr>
                <w:sz w:val="22"/>
                <w:szCs w:val="22"/>
              </w:rPr>
              <w:t>Los deportes más populares son el béisbol y el sumo (lucha japonesa).</w:t>
            </w:r>
          </w:p>
        </w:tc>
        <w:tc>
          <w:tcPr>
            <w:tcW w:w="3518" w:type="dxa"/>
            <w:gridSpan w:val="4"/>
          </w:tcPr>
          <w:p w:rsidR="009D4862" w:rsidRPr="00D36DB6" w:rsidRDefault="009D4862" w:rsidP="004A2273">
            <w:pPr>
              <w:rPr>
                <w:sz w:val="22"/>
                <w:szCs w:val="22"/>
              </w:rPr>
            </w:pPr>
            <w:r w:rsidRPr="00D36DB6">
              <w:rPr>
                <w:sz w:val="22"/>
                <w:szCs w:val="22"/>
              </w:rPr>
              <w:t>El fútbol es el deporte más popular.</w:t>
            </w:r>
          </w:p>
        </w:tc>
      </w:tr>
      <w:tr w:rsidR="009D4862" w:rsidRPr="00D36DB6" w:rsidTr="004A2273">
        <w:tblPrEx>
          <w:tblCellMar>
            <w:top w:w="0" w:type="dxa"/>
            <w:bottom w:w="0" w:type="dxa"/>
          </w:tblCellMar>
        </w:tblPrEx>
        <w:trPr>
          <w:cantSplit/>
        </w:trPr>
        <w:tc>
          <w:tcPr>
            <w:tcW w:w="1488" w:type="dxa"/>
            <w:vMerge/>
          </w:tcPr>
          <w:p w:rsidR="009D4862" w:rsidRPr="00D36DB6" w:rsidRDefault="009D4862" w:rsidP="004A2273">
            <w:pPr>
              <w:rPr>
                <w:sz w:val="22"/>
                <w:szCs w:val="22"/>
              </w:rPr>
            </w:pPr>
          </w:p>
        </w:tc>
        <w:tc>
          <w:tcPr>
            <w:tcW w:w="7156" w:type="dxa"/>
            <w:gridSpan w:val="6"/>
          </w:tcPr>
          <w:p w:rsidR="009D4862" w:rsidRPr="00D36DB6" w:rsidRDefault="009D4862" w:rsidP="004A2273">
            <w:pPr>
              <w:rPr>
                <w:sz w:val="22"/>
                <w:szCs w:val="22"/>
              </w:rPr>
            </w:pPr>
            <w:r w:rsidRPr="00D36DB6">
              <w:rPr>
                <w:sz w:val="22"/>
                <w:szCs w:val="22"/>
              </w:rPr>
              <w:t>La mayoría de los jóvenes salen los fines de semana, a bailar y a beber (en Estados Unidos sólo se puede beber alcohol a partir de los 21 años). También van a centros comerciales (en las ciudades), donde hay recreativos y restaurantes de comida rápida. La mayoría de la gente va de vez en cuando al cine o a cenar a restaurantes.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Viajes</w:t>
            </w:r>
          </w:p>
        </w:tc>
        <w:tc>
          <w:tcPr>
            <w:tcW w:w="2017" w:type="dxa"/>
          </w:tcPr>
          <w:p w:rsidR="009D4862" w:rsidRPr="00D36DB6" w:rsidRDefault="009D4862" w:rsidP="004A2273">
            <w:pPr>
              <w:jc w:val="center"/>
              <w:rPr>
                <w:sz w:val="22"/>
                <w:szCs w:val="22"/>
              </w:rPr>
            </w:pPr>
            <w:r w:rsidRPr="00D36DB6">
              <w:rPr>
                <w:sz w:val="22"/>
                <w:szCs w:val="22"/>
              </w:rPr>
              <w:t>Casi todo el mundo puede viajar por su país. El 21 % de la población viaja cada año al extranjero, sobre todo a México y Canadá</w:t>
            </w:r>
          </w:p>
        </w:tc>
        <w:tc>
          <w:tcPr>
            <w:tcW w:w="1621" w:type="dxa"/>
          </w:tcPr>
          <w:p w:rsidR="009D4862" w:rsidRPr="00D36DB6" w:rsidRDefault="009D4862" w:rsidP="004A2273">
            <w:pPr>
              <w:jc w:val="center"/>
              <w:rPr>
                <w:sz w:val="22"/>
                <w:szCs w:val="22"/>
              </w:rPr>
            </w:pPr>
            <w:r w:rsidRPr="00D36DB6">
              <w:rPr>
                <w:sz w:val="22"/>
                <w:szCs w:val="22"/>
              </w:rPr>
              <w:t>La mayoría de la población viaja cada año por su país. Un 15 % van al extranjero, sobre todo a China y Corea del Sur.</w:t>
            </w:r>
          </w:p>
        </w:tc>
        <w:tc>
          <w:tcPr>
            <w:tcW w:w="1799" w:type="dxa"/>
            <w:gridSpan w:val="3"/>
          </w:tcPr>
          <w:p w:rsidR="009D4862" w:rsidRPr="00D36DB6" w:rsidRDefault="009D4862" w:rsidP="004A2273">
            <w:pPr>
              <w:jc w:val="center"/>
              <w:rPr>
                <w:sz w:val="22"/>
                <w:szCs w:val="22"/>
              </w:rPr>
            </w:pPr>
            <w:r w:rsidRPr="00D36DB6">
              <w:rPr>
                <w:sz w:val="22"/>
                <w:szCs w:val="22"/>
              </w:rPr>
              <w:t>Un 85 % de la población viaja cada año al extranjero, sobre todo a España e Italia</w:t>
            </w:r>
          </w:p>
        </w:tc>
        <w:tc>
          <w:tcPr>
            <w:tcW w:w="1719" w:type="dxa"/>
          </w:tcPr>
          <w:p w:rsidR="009D4862" w:rsidRPr="00D36DB6" w:rsidRDefault="009D4862" w:rsidP="004A2273">
            <w:pPr>
              <w:jc w:val="center"/>
              <w:rPr>
                <w:sz w:val="22"/>
                <w:szCs w:val="22"/>
              </w:rPr>
            </w:pPr>
            <w:r w:rsidRPr="00D36DB6">
              <w:rPr>
                <w:sz w:val="22"/>
                <w:szCs w:val="22"/>
              </w:rPr>
              <w:t>La mayoría de la población viaja cada año por su país. Un 35 % van al extranjero, sobre todo a España e Italia</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Inmigración</w:t>
            </w:r>
          </w:p>
        </w:tc>
        <w:tc>
          <w:tcPr>
            <w:tcW w:w="2017" w:type="dxa"/>
          </w:tcPr>
          <w:p w:rsidR="009D4862" w:rsidRPr="00D36DB6" w:rsidRDefault="009D4862" w:rsidP="004A2273">
            <w:pPr>
              <w:jc w:val="center"/>
              <w:rPr>
                <w:sz w:val="22"/>
                <w:szCs w:val="22"/>
              </w:rPr>
            </w:pPr>
            <w:r w:rsidRPr="00D36DB6">
              <w:rPr>
                <w:sz w:val="22"/>
                <w:szCs w:val="22"/>
              </w:rPr>
              <w:t>En las grandes ciudades hay muchos inmigrantes latinoamericanos y asiáticos</w:t>
            </w:r>
          </w:p>
        </w:tc>
        <w:tc>
          <w:tcPr>
            <w:tcW w:w="1621" w:type="dxa"/>
          </w:tcPr>
          <w:p w:rsidR="009D4862" w:rsidRPr="00D36DB6" w:rsidRDefault="009D4862" w:rsidP="004A2273">
            <w:pPr>
              <w:jc w:val="center"/>
              <w:rPr>
                <w:sz w:val="22"/>
                <w:szCs w:val="22"/>
              </w:rPr>
            </w:pPr>
            <w:r w:rsidRPr="00D36DB6">
              <w:rPr>
                <w:sz w:val="22"/>
                <w:szCs w:val="22"/>
              </w:rPr>
              <w:t>No hay apenas inmigrantes</w:t>
            </w:r>
          </w:p>
        </w:tc>
        <w:tc>
          <w:tcPr>
            <w:tcW w:w="1799" w:type="dxa"/>
            <w:gridSpan w:val="3"/>
          </w:tcPr>
          <w:p w:rsidR="009D4862" w:rsidRPr="00D36DB6" w:rsidRDefault="009D4862" w:rsidP="004A2273">
            <w:pPr>
              <w:jc w:val="center"/>
              <w:rPr>
                <w:sz w:val="22"/>
                <w:szCs w:val="22"/>
              </w:rPr>
            </w:pPr>
            <w:r w:rsidRPr="00D36DB6">
              <w:rPr>
                <w:sz w:val="22"/>
                <w:szCs w:val="22"/>
              </w:rPr>
              <w:t>En las ciudades hay muchos inmigrantes turcos y de Europa del Este</w:t>
            </w:r>
            <w:r>
              <w:rPr>
                <w:sz w:val="22"/>
                <w:szCs w:val="22"/>
              </w:rPr>
              <w:t xml:space="preserve"> (sobre todo polacos y rusos)</w:t>
            </w:r>
          </w:p>
        </w:tc>
        <w:tc>
          <w:tcPr>
            <w:tcW w:w="1719" w:type="dxa"/>
          </w:tcPr>
          <w:p w:rsidR="009D4862" w:rsidRPr="00D36DB6" w:rsidRDefault="009D4862" w:rsidP="004A2273">
            <w:pPr>
              <w:jc w:val="center"/>
              <w:rPr>
                <w:sz w:val="22"/>
                <w:szCs w:val="22"/>
              </w:rPr>
            </w:pPr>
            <w:r w:rsidRPr="00D36DB6">
              <w:rPr>
                <w:sz w:val="22"/>
                <w:szCs w:val="22"/>
              </w:rPr>
              <w:t>En las ciudades hay muchos inmigrantes africanos (argelinos</w:t>
            </w:r>
            <w:r>
              <w:rPr>
                <w:sz w:val="22"/>
                <w:szCs w:val="22"/>
              </w:rPr>
              <w:t xml:space="preserve"> y</w:t>
            </w:r>
            <w:r w:rsidRPr="00D36DB6">
              <w:rPr>
                <w:sz w:val="22"/>
                <w:szCs w:val="22"/>
              </w:rPr>
              <w:t xml:space="preserve"> marroquíes)</w:t>
            </w:r>
            <w:r>
              <w:rPr>
                <w:sz w:val="22"/>
                <w:szCs w:val="22"/>
              </w:rPr>
              <w:t xml:space="preserve"> y portugueses</w:t>
            </w:r>
          </w:p>
        </w:tc>
      </w:tr>
      <w:tr w:rsidR="009D4862" w:rsidRPr="00D36DB6" w:rsidTr="004A2273">
        <w:tblPrEx>
          <w:tblCellMar>
            <w:top w:w="0" w:type="dxa"/>
            <w:bottom w:w="0" w:type="dxa"/>
          </w:tblCellMar>
        </w:tblPrEx>
        <w:trPr>
          <w:cantSplit/>
        </w:trPr>
        <w:tc>
          <w:tcPr>
            <w:tcW w:w="1488" w:type="dxa"/>
            <w:vMerge w:val="restart"/>
          </w:tcPr>
          <w:p w:rsidR="009D4862" w:rsidRPr="00D36DB6" w:rsidRDefault="009D4862" w:rsidP="004A2273">
            <w:pPr>
              <w:rPr>
                <w:sz w:val="22"/>
                <w:szCs w:val="22"/>
              </w:rPr>
            </w:pPr>
            <w:r w:rsidRPr="00D36DB6">
              <w:rPr>
                <w:sz w:val="22"/>
                <w:szCs w:val="22"/>
              </w:rPr>
              <w:t>Situación de la mujer</w:t>
            </w:r>
          </w:p>
        </w:tc>
        <w:tc>
          <w:tcPr>
            <w:tcW w:w="2017" w:type="dxa"/>
          </w:tcPr>
          <w:p w:rsidR="009D4862" w:rsidRPr="00D36DB6" w:rsidRDefault="009D4862" w:rsidP="004A2273">
            <w:pPr>
              <w:jc w:val="center"/>
              <w:rPr>
                <w:sz w:val="22"/>
                <w:szCs w:val="22"/>
              </w:rPr>
            </w:pPr>
            <w:r w:rsidRPr="00D36DB6">
              <w:rPr>
                <w:sz w:val="22"/>
                <w:szCs w:val="22"/>
              </w:rPr>
              <w:t>Trabajan más del 80 % de las mujeres. Cobran el 76 % que los hombres</w:t>
            </w:r>
          </w:p>
        </w:tc>
        <w:tc>
          <w:tcPr>
            <w:tcW w:w="1621" w:type="dxa"/>
          </w:tcPr>
          <w:p w:rsidR="009D4862" w:rsidRPr="00D36DB6" w:rsidRDefault="009D4862" w:rsidP="004A2273">
            <w:pPr>
              <w:jc w:val="center"/>
              <w:rPr>
                <w:sz w:val="22"/>
                <w:szCs w:val="22"/>
              </w:rPr>
            </w:pPr>
            <w:r w:rsidRPr="00D36DB6">
              <w:rPr>
                <w:sz w:val="22"/>
                <w:szCs w:val="22"/>
              </w:rPr>
              <w:t>Trabajan el 75 % de las mujeres. Cobran el 63 % que los hombres. En la universidad estudian casi el doble de hombres que de mujeres.</w:t>
            </w:r>
          </w:p>
        </w:tc>
        <w:tc>
          <w:tcPr>
            <w:tcW w:w="1799" w:type="dxa"/>
            <w:gridSpan w:val="3"/>
          </w:tcPr>
          <w:p w:rsidR="009D4862" w:rsidRPr="00D36DB6" w:rsidRDefault="009D4862" w:rsidP="004A2273">
            <w:pPr>
              <w:jc w:val="center"/>
              <w:rPr>
                <w:sz w:val="22"/>
                <w:szCs w:val="22"/>
              </w:rPr>
            </w:pPr>
            <w:r w:rsidRPr="00D36DB6">
              <w:rPr>
                <w:sz w:val="22"/>
                <w:szCs w:val="22"/>
              </w:rPr>
              <w:t>Trabajan el 70 % de las mujeres. Cobran el 74 % que los hombres.</w:t>
            </w:r>
          </w:p>
        </w:tc>
        <w:tc>
          <w:tcPr>
            <w:tcW w:w="1719" w:type="dxa"/>
          </w:tcPr>
          <w:p w:rsidR="009D4862" w:rsidRPr="00D36DB6" w:rsidRDefault="009D4862" w:rsidP="004A2273">
            <w:pPr>
              <w:jc w:val="center"/>
              <w:rPr>
                <w:sz w:val="22"/>
                <w:szCs w:val="22"/>
              </w:rPr>
            </w:pPr>
            <w:r w:rsidRPr="00D36DB6">
              <w:rPr>
                <w:sz w:val="22"/>
                <w:szCs w:val="22"/>
              </w:rPr>
              <w:t>Trabajan el 70 % de las mujeres. Cobran el 81 % que los hombres.</w:t>
            </w:r>
          </w:p>
        </w:tc>
      </w:tr>
      <w:tr w:rsidR="009D4862" w:rsidRPr="00D36DB6" w:rsidTr="004A2273">
        <w:tblPrEx>
          <w:tblCellMar>
            <w:top w:w="0" w:type="dxa"/>
            <w:bottom w:w="0" w:type="dxa"/>
          </w:tblCellMar>
        </w:tblPrEx>
        <w:trPr>
          <w:cantSplit/>
        </w:trPr>
        <w:tc>
          <w:tcPr>
            <w:tcW w:w="1488" w:type="dxa"/>
            <w:vMerge/>
          </w:tcPr>
          <w:p w:rsidR="009D4862" w:rsidRPr="00D36DB6" w:rsidRDefault="009D4862" w:rsidP="004A2273">
            <w:pPr>
              <w:rPr>
                <w:sz w:val="22"/>
                <w:szCs w:val="22"/>
              </w:rPr>
            </w:pPr>
          </w:p>
        </w:tc>
        <w:tc>
          <w:tcPr>
            <w:tcW w:w="7156" w:type="dxa"/>
            <w:gridSpan w:val="6"/>
          </w:tcPr>
          <w:p w:rsidR="009D4862" w:rsidRPr="00D36DB6" w:rsidRDefault="009D4862" w:rsidP="004A2273">
            <w:pPr>
              <w:rPr>
                <w:sz w:val="22"/>
                <w:szCs w:val="22"/>
              </w:rPr>
            </w:pPr>
            <w:r w:rsidRPr="00D36DB6">
              <w:rPr>
                <w:sz w:val="22"/>
                <w:szCs w:val="22"/>
              </w:rPr>
              <w:t>Las mujeres suelen trabajar cada día una hora menos fuera de casa, pero dos horas más en casa que sus maridos. Suelen ser ellas las que planchan, cocinan o atienden a los niños. En las parejas jóvenes se reparten más las tareas que en las mayores. A muchas mujeres con contrato temporal no se les renueva el contrato si se quedan embarazadas.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Delincuencia</w:t>
            </w:r>
          </w:p>
        </w:tc>
        <w:tc>
          <w:tcPr>
            <w:tcW w:w="2017" w:type="dxa"/>
          </w:tcPr>
          <w:p w:rsidR="009D4862" w:rsidRPr="00D36DB6" w:rsidRDefault="009D4862" w:rsidP="004A2273">
            <w:pPr>
              <w:jc w:val="center"/>
              <w:rPr>
                <w:sz w:val="22"/>
                <w:szCs w:val="22"/>
              </w:rPr>
            </w:pPr>
            <w:r w:rsidRPr="00D36DB6">
              <w:rPr>
                <w:sz w:val="22"/>
                <w:szCs w:val="22"/>
              </w:rPr>
              <w:t xml:space="preserve">Mucha delincuencia en </w:t>
            </w:r>
            <w:r>
              <w:rPr>
                <w:sz w:val="22"/>
                <w:szCs w:val="22"/>
              </w:rPr>
              <w:t xml:space="preserve">los barrios pobres de las grandes ciudades </w:t>
            </w:r>
            <w:r w:rsidRPr="00D36DB6">
              <w:rPr>
                <w:sz w:val="22"/>
                <w:szCs w:val="22"/>
              </w:rPr>
              <w:t>(sobre todo por la noche). El resto normal. En el 39 % de las casas hay un arma de fuego, pues mucha gente cree que así se podrá defender mejor.</w:t>
            </w:r>
            <w:r>
              <w:rPr>
                <w:sz w:val="22"/>
                <w:szCs w:val="22"/>
              </w:rPr>
              <w:t xml:space="preserve"> La gente puede disparar a cualquiera que entre sin su permiso en su casa.</w:t>
            </w:r>
          </w:p>
        </w:tc>
        <w:tc>
          <w:tcPr>
            <w:tcW w:w="1621" w:type="dxa"/>
          </w:tcPr>
          <w:p w:rsidR="009D4862" w:rsidRPr="00D36DB6" w:rsidRDefault="009D4862" w:rsidP="004A2273">
            <w:pPr>
              <w:jc w:val="center"/>
              <w:rPr>
                <w:sz w:val="22"/>
                <w:szCs w:val="22"/>
              </w:rPr>
            </w:pPr>
            <w:r w:rsidRPr="00D36DB6">
              <w:rPr>
                <w:sz w:val="22"/>
                <w:szCs w:val="22"/>
              </w:rPr>
              <w:t>Poca. Es un país bastante seguro. Una mujer puede andar sola por la calle de una gran ciudad, de noche, sin peligro de que le pase nada. La gente deja sus cosas en lugares públicos sin temor a que se las roben.</w:t>
            </w:r>
          </w:p>
        </w:tc>
        <w:tc>
          <w:tcPr>
            <w:tcW w:w="1799" w:type="dxa"/>
            <w:gridSpan w:val="3"/>
          </w:tcPr>
          <w:p w:rsidR="009D4862" w:rsidRPr="00D36DB6" w:rsidRDefault="009D4862" w:rsidP="004A2273">
            <w:pPr>
              <w:jc w:val="center"/>
              <w:rPr>
                <w:sz w:val="22"/>
                <w:szCs w:val="22"/>
              </w:rPr>
            </w:pPr>
            <w:r w:rsidRPr="00D36DB6">
              <w:rPr>
                <w:sz w:val="22"/>
                <w:szCs w:val="22"/>
              </w:rPr>
              <w:t>Normal (como en España)</w:t>
            </w:r>
          </w:p>
        </w:tc>
        <w:tc>
          <w:tcPr>
            <w:tcW w:w="1719" w:type="dxa"/>
          </w:tcPr>
          <w:p w:rsidR="009D4862" w:rsidRPr="00D36DB6" w:rsidRDefault="009D4862" w:rsidP="004A2273">
            <w:pPr>
              <w:jc w:val="center"/>
              <w:rPr>
                <w:sz w:val="22"/>
                <w:szCs w:val="22"/>
              </w:rPr>
            </w:pPr>
            <w:r w:rsidRPr="00D36DB6">
              <w:rPr>
                <w:sz w:val="22"/>
                <w:szCs w:val="22"/>
              </w:rPr>
              <w:t>Normal (como en España)</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lastRenderedPageBreak/>
              <w:t>Religión</w:t>
            </w:r>
          </w:p>
        </w:tc>
        <w:tc>
          <w:tcPr>
            <w:tcW w:w="2017" w:type="dxa"/>
          </w:tcPr>
          <w:p w:rsidR="009D4862" w:rsidRPr="00D36DB6" w:rsidRDefault="009D4862" w:rsidP="004A2273">
            <w:pPr>
              <w:rPr>
                <w:sz w:val="22"/>
                <w:szCs w:val="22"/>
              </w:rPr>
            </w:pPr>
            <w:r w:rsidRPr="00D36DB6">
              <w:rPr>
                <w:sz w:val="22"/>
                <w:szCs w:val="22"/>
              </w:rPr>
              <w:t xml:space="preserve">La mayoría de la población pertenece a </w:t>
            </w:r>
            <w:proofErr w:type="gramStart"/>
            <w:r w:rsidRPr="00D36DB6">
              <w:rPr>
                <w:sz w:val="22"/>
                <w:szCs w:val="22"/>
              </w:rPr>
              <w:t>una iglesia protestante (presbiterianos, baptistas o metodistas</w:t>
            </w:r>
            <w:proofErr w:type="gramEnd"/>
            <w:r w:rsidRPr="00D36DB6">
              <w:rPr>
                <w:sz w:val="22"/>
                <w:szCs w:val="22"/>
              </w:rPr>
              <w:t>). La mayoría de la gente es practicante y va a misa los domingos.</w:t>
            </w:r>
          </w:p>
        </w:tc>
        <w:tc>
          <w:tcPr>
            <w:tcW w:w="1621" w:type="dxa"/>
          </w:tcPr>
          <w:p w:rsidR="009D4862" w:rsidRPr="00D36DB6" w:rsidRDefault="009D4862" w:rsidP="004A2273">
            <w:pPr>
              <w:rPr>
                <w:sz w:val="22"/>
                <w:szCs w:val="22"/>
              </w:rPr>
            </w:pPr>
            <w:r w:rsidRPr="00D36DB6">
              <w:rPr>
                <w:sz w:val="22"/>
                <w:szCs w:val="22"/>
              </w:rPr>
              <w:t xml:space="preserve">La mayoría de la gente no practica ninguna religión. Las personas mayores son más religiosas y tienden a ser budistas o </w:t>
            </w:r>
            <w:proofErr w:type="spellStart"/>
            <w:r w:rsidRPr="00D36DB6">
              <w:rPr>
                <w:sz w:val="22"/>
                <w:szCs w:val="22"/>
              </w:rPr>
              <w:t>shintoístas</w:t>
            </w:r>
            <w:proofErr w:type="spellEnd"/>
            <w:r w:rsidRPr="00D36DB6">
              <w:rPr>
                <w:sz w:val="22"/>
                <w:szCs w:val="22"/>
              </w:rPr>
              <w:t>.</w:t>
            </w:r>
          </w:p>
        </w:tc>
        <w:tc>
          <w:tcPr>
            <w:tcW w:w="1799" w:type="dxa"/>
            <w:gridSpan w:val="3"/>
          </w:tcPr>
          <w:p w:rsidR="009D4862" w:rsidRPr="00D36DB6" w:rsidRDefault="009D4862" w:rsidP="004A2273">
            <w:pPr>
              <w:rPr>
                <w:sz w:val="22"/>
                <w:szCs w:val="22"/>
              </w:rPr>
            </w:pPr>
            <w:r w:rsidRPr="00D36DB6">
              <w:rPr>
                <w:sz w:val="22"/>
                <w:szCs w:val="22"/>
              </w:rPr>
              <w:t>Dos terceras partes de la población es protestante (evangélicos) y un tercio católicos (sobre todo en Baviera y Renania). Pero la mayoría de la gente no es practicante.</w:t>
            </w:r>
          </w:p>
        </w:tc>
        <w:tc>
          <w:tcPr>
            <w:tcW w:w="1719" w:type="dxa"/>
          </w:tcPr>
          <w:p w:rsidR="009D4862" w:rsidRPr="00D36DB6" w:rsidRDefault="009D4862" w:rsidP="004A2273">
            <w:pPr>
              <w:rPr>
                <w:sz w:val="22"/>
                <w:szCs w:val="22"/>
              </w:rPr>
            </w:pPr>
            <w:r w:rsidRPr="00D36DB6">
              <w:rPr>
                <w:sz w:val="22"/>
                <w:szCs w:val="22"/>
              </w:rPr>
              <w:t>La mayoría de la población es católica, pero pocos van a misa los domingos.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Hijos por familia</w:t>
            </w:r>
          </w:p>
        </w:tc>
        <w:tc>
          <w:tcPr>
            <w:tcW w:w="2017" w:type="dxa"/>
          </w:tcPr>
          <w:p w:rsidR="009D4862" w:rsidRPr="00D36DB6" w:rsidRDefault="009D4862" w:rsidP="004A2273">
            <w:pPr>
              <w:jc w:val="center"/>
              <w:rPr>
                <w:sz w:val="22"/>
                <w:szCs w:val="22"/>
              </w:rPr>
            </w:pPr>
            <w:r w:rsidRPr="00D36DB6">
              <w:rPr>
                <w:sz w:val="22"/>
                <w:szCs w:val="22"/>
              </w:rPr>
              <w:t>2</w:t>
            </w:r>
          </w:p>
        </w:tc>
        <w:tc>
          <w:tcPr>
            <w:tcW w:w="1621" w:type="dxa"/>
          </w:tcPr>
          <w:p w:rsidR="009D4862" w:rsidRPr="00D36DB6" w:rsidRDefault="009D4862" w:rsidP="004A2273">
            <w:pPr>
              <w:jc w:val="center"/>
              <w:rPr>
                <w:sz w:val="22"/>
                <w:szCs w:val="22"/>
              </w:rPr>
            </w:pPr>
            <w:r w:rsidRPr="00D36DB6">
              <w:rPr>
                <w:sz w:val="22"/>
                <w:szCs w:val="22"/>
              </w:rPr>
              <w:t>1</w:t>
            </w:r>
          </w:p>
        </w:tc>
        <w:tc>
          <w:tcPr>
            <w:tcW w:w="1799" w:type="dxa"/>
            <w:gridSpan w:val="3"/>
          </w:tcPr>
          <w:p w:rsidR="009D4862" w:rsidRPr="00D36DB6" w:rsidRDefault="009D4862" w:rsidP="004A2273">
            <w:pPr>
              <w:jc w:val="center"/>
              <w:rPr>
                <w:sz w:val="22"/>
                <w:szCs w:val="22"/>
              </w:rPr>
            </w:pPr>
            <w:r w:rsidRPr="00D36DB6">
              <w:rPr>
                <w:sz w:val="22"/>
                <w:szCs w:val="22"/>
              </w:rPr>
              <w:t>1</w:t>
            </w:r>
          </w:p>
        </w:tc>
        <w:tc>
          <w:tcPr>
            <w:tcW w:w="1719" w:type="dxa"/>
          </w:tcPr>
          <w:p w:rsidR="009D4862" w:rsidRPr="00D36DB6" w:rsidRDefault="009D4862" w:rsidP="004A2273">
            <w:pPr>
              <w:jc w:val="center"/>
              <w:rPr>
                <w:sz w:val="22"/>
                <w:szCs w:val="22"/>
              </w:rPr>
            </w:pPr>
            <w:r w:rsidRPr="00D36DB6">
              <w:rPr>
                <w:sz w:val="22"/>
                <w:szCs w:val="22"/>
              </w:rPr>
              <w:t xml:space="preserve">1 </w:t>
            </w:r>
            <w:proofErr w:type="spellStart"/>
            <w:r w:rsidRPr="00D36DB6">
              <w:rPr>
                <w:sz w:val="22"/>
                <w:szCs w:val="22"/>
              </w:rPr>
              <w:t>ó</w:t>
            </w:r>
            <w:proofErr w:type="spellEnd"/>
            <w:r w:rsidRPr="00D36DB6">
              <w:rPr>
                <w:sz w:val="22"/>
                <w:szCs w:val="22"/>
              </w:rPr>
              <w:t xml:space="preserve"> 2</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Edad a la que se van de casa de los padres (media)</w:t>
            </w:r>
          </w:p>
        </w:tc>
        <w:tc>
          <w:tcPr>
            <w:tcW w:w="2017" w:type="dxa"/>
          </w:tcPr>
          <w:p w:rsidR="009D4862" w:rsidRPr="00D36DB6" w:rsidRDefault="009D4862" w:rsidP="004A2273">
            <w:pPr>
              <w:jc w:val="center"/>
              <w:rPr>
                <w:sz w:val="22"/>
                <w:szCs w:val="22"/>
              </w:rPr>
            </w:pPr>
            <w:r w:rsidRPr="00D36DB6">
              <w:rPr>
                <w:sz w:val="22"/>
                <w:szCs w:val="22"/>
              </w:rPr>
              <w:t>22 años</w:t>
            </w:r>
          </w:p>
        </w:tc>
        <w:tc>
          <w:tcPr>
            <w:tcW w:w="1621" w:type="dxa"/>
          </w:tcPr>
          <w:p w:rsidR="009D4862" w:rsidRPr="00D36DB6" w:rsidRDefault="009D4862" w:rsidP="004A2273">
            <w:pPr>
              <w:jc w:val="center"/>
              <w:rPr>
                <w:sz w:val="22"/>
                <w:szCs w:val="22"/>
              </w:rPr>
            </w:pPr>
            <w:r w:rsidRPr="00D36DB6">
              <w:rPr>
                <w:sz w:val="22"/>
                <w:szCs w:val="22"/>
              </w:rPr>
              <w:t>27 años</w:t>
            </w:r>
          </w:p>
        </w:tc>
        <w:tc>
          <w:tcPr>
            <w:tcW w:w="1799" w:type="dxa"/>
            <w:gridSpan w:val="3"/>
          </w:tcPr>
          <w:p w:rsidR="009D4862" w:rsidRPr="00D36DB6" w:rsidRDefault="009D4862" w:rsidP="004A2273">
            <w:pPr>
              <w:jc w:val="center"/>
              <w:rPr>
                <w:sz w:val="22"/>
                <w:szCs w:val="22"/>
              </w:rPr>
            </w:pPr>
            <w:r w:rsidRPr="00D36DB6">
              <w:rPr>
                <w:sz w:val="22"/>
                <w:szCs w:val="22"/>
              </w:rPr>
              <w:t>22 años</w:t>
            </w:r>
          </w:p>
        </w:tc>
        <w:tc>
          <w:tcPr>
            <w:tcW w:w="1719" w:type="dxa"/>
          </w:tcPr>
          <w:p w:rsidR="009D4862" w:rsidRPr="00D36DB6" w:rsidRDefault="009D4862" w:rsidP="004A2273">
            <w:pPr>
              <w:jc w:val="center"/>
              <w:rPr>
                <w:sz w:val="22"/>
                <w:szCs w:val="22"/>
              </w:rPr>
            </w:pPr>
            <w:r w:rsidRPr="00D36DB6">
              <w:rPr>
                <w:sz w:val="22"/>
                <w:szCs w:val="22"/>
              </w:rPr>
              <w:t>24 años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Viviendas en los pueblos y ciudades pequeñas</w:t>
            </w:r>
          </w:p>
        </w:tc>
        <w:tc>
          <w:tcPr>
            <w:tcW w:w="2017" w:type="dxa"/>
          </w:tcPr>
          <w:p w:rsidR="009D4862" w:rsidRPr="00D36DB6" w:rsidRDefault="009D4862" w:rsidP="004A2273">
            <w:pPr>
              <w:jc w:val="center"/>
              <w:rPr>
                <w:sz w:val="22"/>
                <w:szCs w:val="22"/>
              </w:rPr>
            </w:pPr>
            <w:r w:rsidRPr="00D36DB6">
              <w:rPr>
                <w:sz w:val="22"/>
                <w:szCs w:val="22"/>
              </w:rPr>
              <w:t>Viviendas unifamil</w:t>
            </w:r>
            <w:r>
              <w:rPr>
                <w:sz w:val="22"/>
                <w:szCs w:val="22"/>
              </w:rPr>
              <w:t>iares de madera, de dos pisos. 225</w:t>
            </w:r>
            <w:r w:rsidRPr="00D36DB6">
              <w:rPr>
                <w:sz w:val="22"/>
                <w:szCs w:val="22"/>
              </w:rPr>
              <w:t xml:space="preserve"> metros cuadrados. Cinco dormitorios</w:t>
            </w:r>
            <w:r>
              <w:rPr>
                <w:sz w:val="22"/>
                <w:szCs w:val="22"/>
              </w:rPr>
              <w:t>, garaje y una habitación para lavadora, secadora y plancha</w:t>
            </w:r>
            <w:r w:rsidRPr="00D36DB6">
              <w:rPr>
                <w:sz w:val="22"/>
                <w:szCs w:val="22"/>
              </w:rPr>
              <w:t>. Las parcelas no suelen estar valladas</w:t>
            </w:r>
            <w:r>
              <w:rPr>
                <w:sz w:val="22"/>
                <w:szCs w:val="22"/>
              </w:rPr>
              <w:t xml:space="preserve"> por delante, pero sí por los lados y por detrás</w:t>
            </w:r>
          </w:p>
        </w:tc>
        <w:tc>
          <w:tcPr>
            <w:tcW w:w="1621" w:type="dxa"/>
          </w:tcPr>
          <w:p w:rsidR="009D4862" w:rsidRPr="00D36DB6" w:rsidRDefault="009D4862" w:rsidP="004A2273">
            <w:pPr>
              <w:jc w:val="center"/>
              <w:rPr>
                <w:sz w:val="22"/>
                <w:szCs w:val="22"/>
              </w:rPr>
            </w:pPr>
            <w:r w:rsidRPr="00D36DB6">
              <w:rPr>
                <w:sz w:val="22"/>
                <w:szCs w:val="22"/>
              </w:rPr>
              <w:t xml:space="preserve">Viviendas unifamiliares </w:t>
            </w:r>
            <w:r>
              <w:rPr>
                <w:sz w:val="22"/>
                <w:szCs w:val="22"/>
              </w:rPr>
              <w:t>de dos pisos</w:t>
            </w:r>
            <w:r w:rsidRPr="00D36DB6">
              <w:rPr>
                <w:sz w:val="22"/>
                <w:szCs w:val="22"/>
              </w:rPr>
              <w:t>.</w:t>
            </w:r>
            <w:r>
              <w:rPr>
                <w:sz w:val="22"/>
                <w:szCs w:val="22"/>
              </w:rPr>
              <w:t xml:space="preserve"> 170 metros cuadrados. Comen en el suelo, en mesas bajitas y duermen en </w:t>
            </w:r>
            <w:proofErr w:type="spellStart"/>
            <w:r>
              <w:rPr>
                <w:sz w:val="22"/>
                <w:szCs w:val="22"/>
              </w:rPr>
              <w:t>futones</w:t>
            </w:r>
            <w:proofErr w:type="spellEnd"/>
            <w:r>
              <w:rPr>
                <w:sz w:val="22"/>
                <w:szCs w:val="22"/>
              </w:rPr>
              <w:t>, colchones finos que guardan por el día. Se quitan los zapatos al entrar en la casa</w:t>
            </w:r>
          </w:p>
        </w:tc>
        <w:tc>
          <w:tcPr>
            <w:tcW w:w="3518" w:type="dxa"/>
            <w:gridSpan w:val="4"/>
          </w:tcPr>
          <w:p w:rsidR="009D4862" w:rsidRPr="00D36DB6" w:rsidRDefault="009D4862" w:rsidP="004A2273">
            <w:pPr>
              <w:jc w:val="center"/>
              <w:rPr>
                <w:sz w:val="22"/>
                <w:szCs w:val="22"/>
              </w:rPr>
            </w:pPr>
            <w:r w:rsidRPr="00D36DB6">
              <w:rPr>
                <w:sz w:val="22"/>
                <w:szCs w:val="22"/>
              </w:rPr>
              <w:t>Casas de ladrillo. 1</w:t>
            </w:r>
            <w:r>
              <w:rPr>
                <w:sz w:val="22"/>
                <w:szCs w:val="22"/>
              </w:rPr>
              <w:t>2</w:t>
            </w:r>
            <w:r w:rsidRPr="00D36DB6">
              <w:rPr>
                <w:sz w:val="22"/>
                <w:szCs w:val="22"/>
              </w:rPr>
              <w:t xml:space="preserve">0 metros cuadrados. </w:t>
            </w:r>
            <w:r>
              <w:rPr>
                <w:sz w:val="22"/>
                <w:szCs w:val="22"/>
              </w:rPr>
              <w:t>Tres o c</w:t>
            </w:r>
            <w:r w:rsidRPr="00D36DB6">
              <w:rPr>
                <w:sz w:val="22"/>
                <w:szCs w:val="22"/>
              </w:rPr>
              <w:t xml:space="preserve">uatro dormitorios. </w:t>
            </w:r>
            <w:r>
              <w:rPr>
                <w:sz w:val="22"/>
                <w:szCs w:val="22"/>
              </w:rPr>
              <w:t>En Alemania las casas no tienen cortinas ni persianas en las ventanas. En las ciudades se vive en edificios de entre 3 y 8 plantas, mientras que en el campo predominan las casas con planta baja y una o dos plantas más.</w:t>
            </w:r>
          </w:p>
        </w:tc>
      </w:tr>
      <w:tr w:rsidR="009D4862" w:rsidRPr="00D36DB6" w:rsidTr="004A2273">
        <w:tblPrEx>
          <w:tblCellMar>
            <w:top w:w="0" w:type="dxa"/>
            <w:bottom w:w="0" w:type="dxa"/>
          </w:tblCellMar>
        </w:tblPrEx>
        <w:trPr>
          <w:cantSplit/>
        </w:trPr>
        <w:tc>
          <w:tcPr>
            <w:tcW w:w="1488" w:type="dxa"/>
          </w:tcPr>
          <w:p w:rsidR="009D4862" w:rsidRPr="00D36DB6" w:rsidRDefault="009D4862" w:rsidP="004A2273">
            <w:pPr>
              <w:rPr>
                <w:sz w:val="22"/>
                <w:szCs w:val="22"/>
              </w:rPr>
            </w:pPr>
            <w:r w:rsidRPr="00D36DB6">
              <w:rPr>
                <w:sz w:val="22"/>
                <w:szCs w:val="22"/>
              </w:rPr>
              <w:t>Viviendas en ciudades medianas y grandes</w:t>
            </w:r>
          </w:p>
        </w:tc>
        <w:tc>
          <w:tcPr>
            <w:tcW w:w="2017" w:type="dxa"/>
          </w:tcPr>
          <w:p w:rsidR="009D4862" w:rsidRPr="00D36DB6" w:rsidRDefault="009D4862" w:rsidP="004A2273">
            <w:pPr>
              <w:jc w:val="center"/>
              <w:rPr>
                <w:sz w:val="22"/>
                <w:szCs w:val="22"/>
              </w:rPr>
            </w:pPr>
            <w:r>
              <w:rPr>
                <w:sz w:val="22"/>
                <w:szCs w:val="22"/>
              </w:rPr>
              <w:t>Viviendas unifamiliares de madera, como las de arriba. También a</w:t>
            </w:r>
            <w:r w:rsidRPr="00D36DB6">
              <w:rPr>
                <w:sz w:val="22"/>
                <w:szCs w:val="22"/>
              </w:rPr>
              <w:t>dosados (en el  centro y el oeste)</w:t>
            </w:r>
            <w:r>
              <w:rPr>
                <w:sz w:val="22"/>
                <w:szCs w:val="22"/>
              </w:rPr>
              <w:t>. Pisos de ladrillo de 90 metros cuadrados y tres dormitorios (en el este).</w:t>
            </w:r>
          </w:p>
        </w:tc>
        <w:tc>
          <w:tcPr>
            <w:tcW w:w="1621" w:type="dxa"/>
          </w:tcPr>
          <w:p w:rsidR="009D4862" w:rsidRPr="00D36DB6" w:rsidRDefault="009D4862" w:rsidP="004A2273">
            <w:pPr>
              <w:jc w:val="center"/>
              <w:rPr>
                <w:sz w:val="22"/>
                <w:szCs w:val="22"/>
              </w:rPr>
            </w:pPr>
            <w:r w:rsidRPr="00D36DB6">
              <w:rPr>
                <w:sz w:val="22"/>
                <w:szCs w:val="22"/>
              </w:rPr>
              <w:t xml:space="preserve">Casas unifamiliares de madera </w:t>
            </w:r>
            <w:r>
              <w:rPr>
                <w:sz w:val="22"/>
                <w:szCs w:val="22"/>
              </w:rPr>
              <w:t xml:space="preserve">(dos plantas) </w:t>
            </w:r>
            <w:r w:rsidRPr="00D36DB6">
              <w:rPr>
                <w:sz w:val="22"/>
                <w:szCs w:val="22"/>
              </w:rPr>
              <w:t xml:space="preserve">y pisos de ladrillo. </w:t>
            </w:r>
            <w:r>
              <w:rPr>
                <w:sz w:val="22"/>
                <w:szCs w:val="22"/>
              </w:rPr>
              <w:t>9</w:t>
            </w:r>
            <w:r w:rsidRPr="00D36DB6">
              <w:rPr>
                <w:sz w:val="22"/>
                <w:szCs w:val="22"/>
              </w:rPr>
              <w:t>0 metros cuadrados. Tres dormitorios.</w:t>
            </w:r>
          </w:p>
        </w:tc>
        <w:tc>
          <w:tcPr>
            <w:tcW w:w="3518" w:type="dxa"/>
            <w:gridSpan w:val="4"/>
          </w:tcPr>
          <w:p w:rsidR="009D4862" w:rsidRPr="00D36DB6" w:rsidRDefault="009D4862" w:rsidP="004A2273">
            <w:pPr>
              <w:jc w:val="center"/>
              <w:rPr>
                <w:sz w:val="22"/>
                <w:szCs w:val="22"/>
              </w:rPr>
            </w:pPr>
            <w:r w:rsidRPr="00D36DB6">
              <w:rPr>
                <w:sz w:val="22"/>
                <w:szCs w:val="22"/>
              </w:rPr>
              <w:t>Pisos de ladrillo</w:t>
            </w:r>
            <w:r>
              <w:rPr>
                <w:sz w:val="22"/>
                <w:szCs w:val="22"/>
              </w:rPr>
              <w:t xml:space="preserve"> de entre tres y ocho plantas</w:t>
            </w:r>
            <w:r w:rsidRPr="00D36DB6">
              <w:rPr>
                <w:sz w:val="22"/>
                <w:szCs w:val="22"/>
              </w:rPr>
              <w:t>.</w:t>
            </w:r>
            <w:r>
              <w:rPr>
                <w:sz w:val="22"/>
                <w:szCs w:val="22"/>
              </w:rPr>
              <w:t xml:space="preserve"> 9</w:t>
            </w:r>
            <w:r w:rsidRPr="00D36DB6">
              <w:rPr>
                <w:sz w:val="22"/>
                <w:szCs w:val="22"/>
              </w:rPr>
              <w:t xml:space="preserve">0 metros cuadrados. Tres dormitorios. </w:t>
            </w:r>
          </w:p>
        </w:tc>
      </w:tr>
    </w:tbl>
    <w:p w:rsidR="009D4862" w:rsidRPr="00D36DB6" w:rsidRDefault="009D4862" w:rsidP="009D4862">
      <w:pPr>
        <w:rPr>
          <w:sz w:val="22"/>
          <w:szCs w:val="22"/>
        </w:rPr>
      </w:pPr>
    </w:p>
    <w:p w:rsidR="009D4862" w:rsidRPr="00D36DB6" w:rsidRDefault="009D4862" w:rsidP="009D4862">
      <w:pPr>
        <w:rPr>
          <w:sz w:val="22"/>
          <w:szCs w:val="22"/>
        </w:rPr>
      </w:pPr>
      <w:r w:rsidRPr="00D36DB6">
        <w:rPr>
          <w:sz w:val="22"/>
          <w:szCs w:val="22"/>
        </w:rPr>
        <w:t>(1) En las grandes ciudades los sueldos son más altos (</w:t>
      </w:r>
      <w:proofErr w:type="spellStart"/>
      <w:r w:rsidRPr="00D36DB6">
        <w:rPr>
          <w:sz w:val="22"/>
          <w:szCs w:val="22"/>
        </w:rPr>
        <w:t>multiplicad</w:t>
      </w:r>
      <w:proofErr w:type="spellEnd"/>
      <w:r w:rsidRPr="00D36DB6">
        <w:rPr>
          <w:sz w:val="22"/>
          <w:szCs w:val="22"/>
        </w:rPr>
        <w:t xml:space="preserve"> por 1,3) y en el campo son más bajos (</w:t>
      </w:r>
      <w:proofErr w:type="spellStart"/>
      <w:r w:rsidRPr="00D36DB6">
        <w:rPr>
          <w:sz w:val="22"/>
          <w:szCs w:val="22"/>
        </w:rPr>
        <w:t>multiplicad</w:t>
      </w:r>
      <w:proofErr w:type="spellEnd"/>
      <w:r w:rsidRPr="00D36DB6">
        <w:rPr>
          <w:sz w:val="22"/>
          <w:szCs w:val="22"/>
        </w:rPr>
        <w:t xml:space="preserve"> por 0,7).</w:t>
      </w:r>
    </w:p>
    <w:p w:rsidR="009D4862" w:rsidRPr="00D36DB6" w:rsidRDefault="009D4862" w:rsidP="009D4862">
      <w:pPr>
        <w:rPr>
          <w:sz w:val="22"/>
          <w:szCs w:val="22"/>
        </w:rPr>
      </w:pPr>
      <w:r w:rsidRPr="00D36DB6">
        <w:rPr>
          <w:sz w:val="22"/>
          <w:szCs w:val="22"/>
        </w:rPr>
        <w:t>(2) En las grandes ciudades el precio de la vivienda media es un 30 % más alto de la media del país (pese a que son más pequeñas) (</w:t>
      </w:r>
      <w:proofErr w:type="spellStart"/>
      <w:r w:rsidRPr="00D36DB6">
        <w:rPr>
          <w:sz w:val="22"/>
          <w:szCs w:val="22"/>
        </w:rPr>
        <w:t>multiplicad</w:t>
      </w:r>
      <w:proofErr w:type="spellEnd"/>
      <w:r w:rsidRPr="00D36DB6">
        <w:rPr>
          <w:sz w:val="22"/>
          <w:szCs w:val="22"/>
        </w:rPr>
        <w:t xml:space="preserve"> por 1,3). </w:t>
      </w:r>
      <w:bookmarkStart w:id="0" w:name="_GoBack"/>
      <w:bookmarkEnd w:id="0"/>
    </w:p>
    <w:p w:rsidR="009D4862" w:rsidRPr="00D36DB6" w:rsidRDefault="009D4862" w:rsidP="009D4862">
      <w:pPr>
        <w:rPr>
          <w:sz w:val="22"/>
          <w:szCs w:val="22"/>
        </w:rPr>
      </w:pPr>
    </w:p>
    <w:p w:rsidR="009D4862" w:rsidRDefault="009D4862" w:rsidP="009D4862">
      <w:pPr>
        <w:pStyle w:val="Ttulo2"/>
      </w:pPr>
    </w:p>
    <w:p w:rsidR="009D4862" w:rsidRDefault="009D4862" w:rsidP="009D4862"/>
    <w:p w:rsidR="005B5E77" w:rsidRDefault="005B5E77"/>
    <w:sectPr w:rsidR="005B5E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B"/>
    <w:rsid w:val="001521EB"/>
    <w:rsid w:val="005B5E77"/>
    <w:rsid w:val="009D4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91AC1C-B8FC-466F-827D-E47703EA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6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9D4862"/>
    <w:pPr>
      <w:keepNext/>
      <w:jc w:val="center"/>
      <w:outlineLvl w:val="1"/>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D4862"/>
    <w:rPr>
      <w:rFonts w:ascii="Times New Roman" w:eastAsia="Times New Roman" w:hAnsi="Times New Roman" w:cs="Times New Roman"/>
      <w:b/>
      <w:bCs/>
      <w:sz w:val="32"/>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11592</Characters>
  <Application>Microsoft Office Word</Application>
  <DocSecurity>0</DocSecurity>
  <Lines>96</Lines>
  <Paragraphs>27</Paragraphs>
  <ScaleCrop>false</ScaleCrop>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2023-11-29T18:55:00Z</dcterms:created>
  <dcterms:modified xsi:type="dcterms:W3CDTF">2023-11-29T18:56:00Z</dcterms:modified>
</cp:coreProperties>
</file>